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wmf" ContentType="image/x-wmf"/>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numPr>
          <w:ilvl w:val="0"/>
          <w:numId w:val="0"/>
        </w:numPr>
        <w:bidi w:val="0"/>
        <w:ind w:left="0" w:right="0" w:hanging="0"/>
        <w:jc w:val="both"/>
        <w:outlineLvl w:val="0"/>
        <w:rPr/>
      </w:pPr>
      <w:r>
        <w:rPr/>
      </w:r>
    </w:p>
    <w:p>
      <w:pPr>
        <w:pStyle w:val="ConsPlusTitle"/>
        <w:numPr>
          <w:ilvl w:val="0"/>
          <w:numId w:val="0"/>
        </w:numPr>
        <w:bidi w:val="0"/>
        <w:ind w:left="0" w:right="0" w:hanging="0"/>
        <w:jc w:val="center"/>
        <w:outlineLvl w:val="0"/>
        <w:rPr/>
      </w:pPr>
      <w:r>
        <w:rPr/>
        <w:t>ПРАВИТЕЛЬСТВО НОВГОРОДСКОЙ ОБЛАСТИ</w:t>
      </w:r>
    </w:p>
    <w:p>
      <w:pPr>
        <w:pStyle w:val="ConsPlusTitle"/>
        <w:bidi w:val="0"/>
        <w:ind w:left="0" w:right="0" w:hanging="0"/>
        <w:jc w:val="center"/>
        <w:rPr/>
      </w:pPr>
      <w:r>
        <w:rPr/>
      </w:r>
    </w:p>
    <w:p>
      <w:pPr>
        <w:pStyle w:val="ConsPlusTitle"/>
        <w:bidi w:val="0"/>
        <w:ind w:left="0" w:right="0" w:hanging="0"/>
        <w:jc w:val="center"/>
        <w:rPr/>
      </w:pPr>
      <w:r>
        <w:rPr/>
        <w:t>ПОСТАНОВЛЕНИЕ</w:t>
      </w:r>
    </w:p>
    <w:p>
      <w:pPr>
        <w:pStyle w:val="ConsPlusTitle"/>
        <w:bidi w:val="0"/>
        <w:ind w:left="0" w:right="0" w:hanging="0"/>
        <w:jc w:val="center"/>
        <w:rPr/>
      </w:pPr>
      <w:r>
        <w:rPr/>
        <w:t>от 31 октября 2022 г. № 584</w:t>
      </w:r>
    </w:p>
    <w:p>
      <w:pPr>
        <w:pStyle w:val="ConsPlusTitle"/>
        <w:bidi w:val="0"/>
        <w:ind w:left="0" w:right="0" w:hanging="0"/>
        <w:jc w:val="center"/>
        <w:rPr/>
      </w:pPr>
      <w:r>
        <w:rPr/>
      </w:r>
    </w:p>
    <w:p>
      <w:pPr>
        <w:pStyle w:val="ConsPlusTitle"/>
        <w:bidi w:val="0"/>
        <w:ind w:left="0" w:right="0" w:hanging="0"/>
        <w:jc w:val="center"/>
        <w:rPr/>
      </w:pPr>
      <w:r>
        <w:rPr/>
        <w:t>ОБ УТВЕРЖДЕНИИ ПОРЯДКА ОЦЕНКИ ИНВЕСТИЦИОННОГО ПРОЕКТА,</w:t>
      </w:r>
    </w:p>
    <w:p>
      <w:pPr>
        <w:pStyle w:val="ConsPlusTitle"/>
        <w:bidi w:val="0"/>
        <w:ind w:left="0" w:right="0" w:hanging="0"/>
        <w:jc w:val="center"/>
        <w:rPr/>
      </w:pPr>
      <w:r>
        <w:rPr/>
        <w:t>В ОТНОШЕНИИ КОТОРОГО ПЛАНИРУЕТСЯ ЗАКЛЮЧЕНИЕ СОГЛАШЕНИЯ</w:t>
      </w:r>
    </w:p>
    <w:p>
      <w:pPr>
        <w:pStyle w:val="ConsPlusTitle"/>
        <w:bidi w:val="0"/>
        <w:ind w:left="0" w:right="0" w:hanging="0"/>
        <w:jc w:val="center"/>
        <w:rPr/>
      </w:pPr>
      <w:r>
        <w:rPr/>
        <w:t>О ЗАЩИТЕ И ПООЩРЕНИИ КАПИТАЛОВЛОЖЕНИЙ, НА ПРЕДМЕТ</w:t>
      </w:r>
    </w:p>
    <w:p>
      <w:pPr>
        <w:pStyle w:val="ConsPlusTitle"/>
        <w:bidi w:val="0"/>
        <w:ind w:left="0" w:right="0" w:hanging="0"/>
        <w:jc w:val="center"/>
        <w:rPr/>
      </w:pPr>
      <w:r>
        <w:rPr/>
        <w:t>ЭФФЕКТИВНОГО ИСПОЛЬЗОВАНИЯ СРЕДСТВ ОБЛАСТНОГО БЮДЖЕТА</w:t>
      </w:r>
    </w:p>
    <w:p>
      <w:pPr>
        <w:pStyle w:val="ConsPlusNormal"/>
        <w:bidi w:val="0"/>
        <w:ind w:left="0" w:right="0" w:hanging="0"/>
        <w:jc w:val="both"/>
        <w:rPr/>
      </w:pPr>
      <w:r>
        <w:rPr/>
      </w:r>
    </w:p>
    <w:p>
      <w:pPr>
        <w:pStyle w:val="ConsPlusNormal"/>
        <w:bidi w:val="0"/>
        <w:ind w:left="0" w:right="0" w:firstLine="540"/>
        <w:jc w:val="both"/>
        <w:rPr/>
      </w:pPr>
      <w:r>
        <w:rPr/>
        <w:t xml:space="preserve">В соответствии с </w:t>
      </w:r>
      <w:hyperlink r:id="rId2">
        <w:r>
          <w:rPr>
            <w:color w:val="0000FF"/>
          </w:rPr>
          <w:t>пунктом 5.1 части 7 статьи 4</w:t>
        </w:r>
      </w:hyperlink>
      <w:r>
        <w:rPr/>
        <w:t xml:space="preserve"> Федерального закона от 1 апреля 2020 года N 69-ФЗ "О защите и поощрении капиталовложений в Российской Федерации", </w:t>
      </w:r>
      <w:hyperlink r:id="rId3">
        <w:r>
          <w:rPr>
            <w:color w:val="0000FF"/>
          </w:rPr>
          <w:t>Постановлением</w:t>
        </w:r>
      </w:hyperlink>
      <w:r>
        <w:rPr/>
        <w:t xml:space="preserve"> Правительства Российской Федерации от 13 сентября 2022 года N 1602 "О соглашениях о защите и поощрении капиталовложений" Правительство Новгородской области постановляет:</w:t>
      </w:r>
    </w:p>
    <w:p>
      <w:pPr>
        <w:pStyle w:val="ConsPlusNormal"/>
        <w:bidi w:val="0"/>
        <w:spacing w:before="240" w:after="160"/>
        <w:ind w:left="0" w:right="0" w:firstLine="540"/>
        <w:jc w:val="both"/>
        <w:rPr/>
      </w:pPr>
      <w:r>
        <w:rPr/>
        <w:t xml:space="preserve">1. Утвердить прилагаемый </w:t>
      </w:r>
      <w:hyperlink w:anchor="Par27" w:tgtFrame="ПОРЯДОК">
        <w:r>
          <w:rPr>
            <w:color w:val="0000FF"/>
          </w:rPr>
          <w:t>Порядок</w:t>
        </w:r>
      </w:hyperlink>
      <w:r>
        <w:rPr/>
        <w:t xml:space="preserve"> оценки инвестиционного проекта, в отношении которого планируется заключение соглашения о защите и поощрении капиталовложений, на предмет эффективного использования средств областного бюджета.</w:t>
      </w:r>
    </w:p>
    <w:p>
      <w:pPr>
        <w:pStyle w:val="ConsPlusNormal"/>
        <w:bidi w:val="0"/>
        <w:spacing w:before="240" w:after="160"/>
        <w:ind w:left="0" w:right="0" w:firstLine="540"/>
        <w:jc w:val="both"/>
        <w:rPr/>
      </w:pPr>
      <w:r>
        <w:rPr/>
        <w:t>2. Разместить постановление на "Официальном интернет-портале правовой информации" (www.pravo.gov.ru).</w:t>
      </w:r>
    </w:p>
    <w:p>
      <w:pPr>
        <w:pStyle w:val="ConsPlusNormal"/>
        <w:bidi w:val="0"/>
        <w:ind w:left="0" w:right="0" w:hanging="0"/>
        <w:jc w:val="both"/>
        <w:rPr/>
      </w:pPr>
      <w:r>
        <w:rPr/>
      </w:r>
    </w:p>
    <w:p>
      <w:pPr>
        <w:pStyle w:val="ConsPlusNormal"/>
        <w:bidi w:val="0"/>
        <w:ind w:left="0" w:right="0" w:hanging="0"/>
        <w:jc w:val="right"/>
        <w:rPr/>
      </w:pPr>
      <w:r>
        <w:rPr/>
        <w:t>Губернатор Новгородской области</w:t>
      </w:r>
    </w:p>
    <w:p>
      <w:pPr>
        <w:pStyle w:val="ConsPlusNormal"/>
        <w:bidi w:val="0"/>
        <w:ind w:left="0" w:right="0" w:hanging="0"/>
        <w:jc w:val="right"/>
        <w:rPr/>
      </w:pPr>
      <w:r>
        <w:rPr/>
        <w:t>А.С.НИКИТИН</w:t>
      </w:r>
    </w:p>
    <w:p>
      <w:pPr>
        <w:pStyle w:val="ConsPlusNormal"/>
        <w:bidi w:val="0"/>
        <w:ind w:left="0" w:right="0" w:hanging="0"/>
        <w:jc w:val="both"/>
        <w:rPr/>
      </w:pPr>
      <w:r>
        <w:rPr/>
      </w:r>
    </w:p>
    <w:p>
      <w:pPr>
        <w:pStyle w:val="ConsPlusNormal"/>
        <w:bidi w:val="0"/>
        <w:ind w:left="0" w:right="0" w:hanging="0"/>
        <w:jc w:val="both"/>
        <w:rPr/>
      </w:pPr>
      <w:r>
        <w:rPr/>
      </w:r>
    </w:p>
    <w:p>
      <w:pPr>
        <w:pStyle w:val="ConsPlusNormal"/>
        <w:bidi w:val="0"/>
        <w:ind w:left="0" w:right="0" w:hanging="0"/>
        <w:jc w:val="both"/>
        <w:rPr/>
      </w:pPr>
      <w:r>
        <w:rPr/>
      </w:r>
    </w:p>
    <w:p>
      <w:pPr>
        <w:pStyle w:val="ConsPlusNormal"/>
        <w:bidi w:val="0"/>
        <w:ind w:left="0" w:right="0" w:hanging="0"/>
        <w:jc w:val="both"/>
        <w:rPr/>
      </w:pPr>
      <w:r>
        <w:rPr/>
      </w:r>
    </w:p>
    <w:p>
      <w:pPr>
        <w:pStyle w:val="ConsPlusNormal"/>
        <w:bidi w:val="0"/>
        <w:ind w:left="0" w:right="0" w:hanging="0"/>
        <w:jc w:val="both"/>
        <w:rPr/>
      </w:pPr>
      <w:r>
        <w:rPr/>
      </w:r>
    </w:p>
    <w:p>
      <w:pPr>
        <w:pStyle w:val="ConsPlusNormal"/>
        <w:numPr>
          <w:ilvl w:val="0"/>
          <w:numId w:val="0"/>
        </w:numPr>
        <w:bidi w:val="0"/>
        <w:ind w:left="0" w:right="0" w:hanging="0"/>
        <w:jc w:val="right"/>
        <w:outlineLvl w:val="0"/>
        <w:rPr/>
      </w:pPr>
      <w:r>
        <w:rPr/>
        <w:t>Утвержден</w:t>
      </w:r>
    </w:p>
    <w:p>
      <w:pPr>
        <w:pStyle w:val="ConsPlusNormal"/>
        <w:bidi w:val="0"/>
        <w:ind w:left="0" w:right="0" w:hanging="0"/>
        <w:jc w:val="right"/>
        <w:rPr/>
      </w:pPr>
      <w:r>
        <w:rPr/>
        <w:t>постановлением</w:t>
      </w:r>
    </w:p>
    <w:p>
      <w:pPr>
        <w:pStyle w:val="ConsPlusNormal"/>
        <w:bidi w:val="0"/>
        <w:ind w:left="0" w:right="0" w:hanging="0"/>
        <w:jc w:val="right"/>
        <w:rPr/>
      </w:pPr>
      <w:r>
        <w:rPr/>
        <w:t>Правительства Новгородской области</w:t>
      </w:r>
    </w:p>
    <w:p>
      <w:pPr>
        <w:pStyle w:val="ConsPlusNormal"/>
        <w:bidi w:val="0"/>
        <w:ind w:left="0" w:right="0" w:hanging="0"/>
        <w:jc w:val="right"/>
        <w:rPr/>
      </w:pPr>
      <w:r>
        <w:rPr/>
        <w:t>от 31.10.2022 № 584</w:t>
      </w:r>
    </w:p>
    <w:p>
      <w:pPr>
        <w:pStyle w:val="ConsPlusNormal"/>
        <w:bidi w:val="0"/>
        <w:ind w:left="0" w:right="0" w:hanging="0"/>
        <w:jc w:val="both"/>
        <w:rPr/>
      </w:pPr>
      <w:r>
        <w:rPr/>
      </w:r>
    </w:p>
    <w:p>
      <w:pPr>
        <w:pStyle w:val="ConsPlusTitle"/>
        <w:bidi w:val="0"/>
        <w:ind w:left="0" w:right="0" w:hanging="0"/>
        <w:jc w:val="center"/>
        <w:rPr/>
      </w:pPr>
      <w:bookmarkStart w:id="0" w:name="Par27"/>
      <w:bookmarkEnd w:id="0"/>
      <w:r>
        <w:rPr/>
        <w:t>ПОРЯДОК</w:t>
      </w:r>
    </w:p>
    <w:p>
      <w:pPr>
        <w:pStyle w:val="ConsPlusTitle"/>
        <w:bidi w:val="0"/>
        <w:ind w:left="0" w:right="0" w:hanging="0"/>
        <w:jc w:val="center"/>
        <w:rPr/>
      </w:pPr>
      <w:r>
        <w:rPr/>
        <w:t>ОЦЕНКИ ИНВЕСТИЦИОННОГО ПРОЕКТА, В ОТНОШЕНИИ КОТОРОГО</w:t>
      </w:r>
    </w:p>
    <w:p>
      <w:pPr>
        <w:pStyle w:val="ConsPlusTitle"/>
        <w:bidi w:val="0"/>
        <w:ind w:left="0" w:right="0" w:hanging="0"/>
        <w:jc w:val="center"/>
        <w:rPr/>
      </w:pPr>
      <w:r>
        <w:rPr/>
        <w:t>ПЛАНИРУЕТСЯ ЗАКЛЮЧЕНИЕ СОГЛАШЕНИЯ О ЗАЩИТЕ И ПООЩРЕНИИ</w:t>
      </w:r>
    </w:p>
    <w:p>
      <w:pPr>
        <w:pStyle w:val="ConsPlusTitle"/>
        <w:bidi w:val="0"/>
        <w:ind w:left="0" w:right="0" w:hanging="0"/>
        <w:jc w:val="center"/>
        <w:rPr/>
      </w:pPr>
      <w:r>
        <w:rPr/>
        <w:t>КАПИТАЛОВЛОЖЕНИЙ, НА ПРЕДМЕТ ЭФФЕКТИВНОГО ИСПОЛЬЗОВАНИЯ</w:t>
      </w:r>
    </w:p>
    <w:p>
      <w:pPr>
        <w:pStyle w:val="ConsPlusTitle"/>
        <w:bidi w:val="0"/>
        <w:ind w:left="0" w:right="0" w:hanging="0"/>
        <w:jc w:val="center"/>
        <w:rPr/>
      </w:pPr>
      <w:r>
        <w:rPr/>
        <w:t>СРЕДСТВ ОБЛАСТНОГО БЮДЖЕТА</w:t>
      </w:r>
    </w:p>
    <w:p>
      <w:pPr>
        <w:pStyle w:val="ConsPlusNormal"/>
        <w:bidi w:val="0"/>
        <w:ind w:left="0" w:right="0" w:hanging="0"/>
        <w:jc w:val="both"/>
        <w:rPr/>
      </w:pPr>
      <w:r>
        <w:rPr/>
      </w:r>
    </w:p>
    <w:p>
      <w:pPr>
        <w:pStyle w:val="ConsPlusTitle"/>
        <w:numPr>
          <w:ilvl w:val="0"/>
          <w:numId w:val="0"/>
        </w:numPr>
        <w:bidi w:val="0"/>
        <w:ind w:left="0" w:right="0" w:hanging="0"/>
        <w:jc w:val="center"/>
        <w:outlineLvl w:val="1"/>
        <w:rPr/>
      </w:pPr>
      <w:r>
        <w:rPr/>
        <w:t>1. Общие положения</w:t>
      </w:r>
    </w:p>
    <w:p>
      <w:pPr>
        <w:pStyle w:val="ConsPlusNormal"/>
        <w:bidi w:val="0"/>
        <w:ind w:left="0" w:right="0" w:hanging="0"/>
        <w:jc w:val="both"/>
        <w:rPr/>
      </w:pPr>
      <w:r>
        <w:rPr/>
      </w:r>
    </w:p>
    <w:p>
      <w:pPr>
        <w:pStyle w:val="ConsPlusNormal"/>
        <w:bidi w:val="0"/>
        <w:ind w:left="0" w:right="0" w:firstLine="540"/>
        <w:jc w:val="both"/>
        <w:rPr/>
      </w:pPr>
      <w:r>
        <w:rPr/>
        <w:t>1.1. Настоящий Порядок устанавливает правила проведения оценки инвестиционного проекта, в отношении которого планируется заключение соглашения о защите и поощрении капиталовложений, на предмет эффективного использования средств областного бюджета в целях подготовки заключения, содержащего вывод о соответствии (положительное заключение) или несоответствии (отрицательное заключение) инвестиционного проекта критериям эффективного использования средств областного бюджета в целях применения мер государственной (муниципальной) поддержки, осуществляемых в рамках соглашений о защите и поощрении капиталовложений (далее инвестиционный проект, Соглашение, Заключение).</w:t>
      </w:r>
    </w:p>
    <w:p>
      <w:pPr>
        <w:pStyle w:val="ConsPlusNormal"/>
        <w:bidi w:val="0"/>
        <w:spacing w:before="240" w:after="160"/>
        <w:ind w:left="0" w:right="0" w:firstLine="540"/>
        <w:jc w:val="both"/>
        <w:rPr/>
      </w:pPr>
      <w:r>
        <w:rPr/>
        <w:t xml:space="preserve">1.2. В настоящем Порядке используются основные понятия, определенные Федеральным </w:t>
      </w:r>
      <w:hyperlink r:id="rId4">
        <w:r>
          <w:rPr>
            <w:color w:val="0000FF"/>
          </w:rPr>
          <w:t>законом</w:t>
        </w:r>
      </w:hyperlink>
      <w:r>
        <w:rPr/>
        <w:t xml:space="preserve"> от 1 апреля 2020 года N 69-ФЗ "О защите и поощрении капиталовложений в Российской Федерации" (далее Федеральный закон).</w:t>
      </w:r>
    </w:p>
    <w:p>
      <w:pPr>
        <w:pStyle w:val="ConsPlusNormal"/>
        <w:bidi w:val="0"/>
        <w:spacing w:before="240" w:after="160"/>
        <w:ind w:left="0" w:right="0" w:firstLine="540"/>
        <w:jc w:val="both"/>
        <w:rPr/>
      </w:pPr>
      <w:r>
        <w:rPr/>
        <w:t>1.3. Критериями эффективного использования средств областного бюджета в целях применения мер государственной (муниципальной) поддержки, осуществляемых в рамках соглашений о защите и поощрении капиталовложений (далее критерий), являются:</w:t>
      </w:r>
    </w:p>
    <w:p>
      <w:pPr>
        <w:pStyle w:val="ConsPlusNormal"/>
        <w:bidi w:val="0"/>
        <w:spacing w:before="240" w:after="160"/>
        <w:ind w:left="0" w:right="0" w:firstLine="540"/>
        <w:jc w:val="both"/>
        <w:rPr/>
      </w:pPr>
      <w:r>
        <w:rPr/>
        <w:t>социальная эффективность инвестиционного проекта, под которой понимаются социально-экономические последствия реализации инвестиционного проекта для общества;</w:t>
      </w:r>
    </w:p>
    <w:p>
      <w:pPr>
        <w:pStyle w:val="ConsPlusNormal"/>
        <w:bidi w:val="0"/>
        <w:spacing w:before="240" w:after="160"/>
        <w:ind w:left="0" w:right="0" w:firstLine="540"/>
        <w:jc w:val="both"/>
        <w:rPr/>
      </w:pPr>
      <w:r>
        <w:rPr/>
        <w:t>экономическая эффективность инвестиционного проекта, под которой понимается результативность экономической деятельности, определяемая отношением полученного экономического эффекта (результата) к затратам, обусловившим получение этого эффекта;</w:t>
      </w:r>
    </w:p>
    <w:p>
      <w:pPr>
        <w:pStyle w:val="ConsPlusNormal"/>
        <w:bidi w:val="0"/>
        <w:spacing w:before="240" w:after="160"/>
        <w:ind w:left="0" w:right="0" w:firstLine="540"/>
        <w:jc w:val="both"/>
        <w:rPr/>
      </w:pPr>
      <w:r>
        <w:rPr/>
        <w:t>бюджетная эффективность инвестиционного проекта, под которой понимается влияние результатов реализуемого инвестиционного проекта на доходы консолидированного бюджета Новгородской области.</w:t>
      </w:r>
    </w:p>
    <w:p>
      <w:pPr>
        <w:pStyle w:val="ConsPlusNormal"/>
        <w:bidi w:val="0"/>
        <w:spacing w:before="240" w:after="160"/>
        <w:ind w:left="0" w:right="0" w:firstLine="540"/>
        <w:jc w:val="both"/>
        <w:rPr/>
      </w:pPr>
      <w:bookmarkStart w:id="1" w:name="Par41"/>
      <w:bookmarkEnd w:id="1"/>
      <w:r>
        <w:rPr/>
        <w:t>1.4. Оценка инвестиционных проектов на предмет соответствия инвестиционного проекта критериям социальной и экономической эффективности инвестиционного проекта (далее оценка инвестиционного проекта на предмет социальной эффективности, оценка инвестиционного проекта на предмет экономической эффективности) проводится органом исполнительной власти Новгородской области, реализующим полномочия в соответствующей сфере деятельности, в которой реализуется инвестиционный проект (далее отраслевой орган).</w:t>
      </w:r>
    </w:p>
    <w:p>
      <w:pPr>
        <w:pStyle w:val="ConsPlusNormal"/>
        <w:bidi w:val="0"/>
        <w:spacing w:before="240" w:after="160"/>
        <w:ind w:left="0" w:right="0" w:firstLine="540"/>
        <w:jc w:val="both"/>
        <w:rPr/>
      </w:pPr>
      <w:r>
        <w:rPr/>
        <w:t xml:space="preserve">По итогам оценки, предусмотренной </w:t>
      </w:r>
      <w:hyperlink w:anchor="Par41" w:tgtFrame="1.4. Оценка инвестиционных проектов на предмет соответствия инвестиционного проекта критериям социальной и экономической эффективности инвестиционного проекта (далее оценка инвестиционного проекта на предмет социальной эффективности, оценка инвестиционного проекта на предмет экономической эффективности) проводится органом исполнительной власти Новгородской области, реализующим полномочия в соответствующей сфере деятельности, в которой реализуется инвестиционный проект (далее отраслевой орган).">
        <w:r>
          <w:rPr>
            <w:color w:val="0000FF"/>
          </w:rPr>
          <w:t>первым абзацем</w:t>
        </w:r>
      </w:hyperlink>
      <w:r>
        <w:rPr/>
        <w:t xml:space="preserve"> настоящего пункта, отраслевым органом составляются:</w:t>
      </w:r>
    </w:p>
    <w:p>
      <w:pPr>
        <w:pStyle w:val="ConsPlusNormal"/>
        <w:bidi w:val="0"/>
        <w:spacing w:before="240" w:after="160"/>
        <w:ind w:left="0" w:right="0" w:firstLine="540"/>
        <w:jc w:val="both"/>
        <w:rPr/>
      </w:pPr>
      <w:r>
        <w:rPr/>
        <w:t>заключение (положительное или отрицательное) об оценке инвестиционного проекта на предмет социальной эффективности;</w:t>
      </w:r>
    </w:p>
    <w:p>
      <w:pPr>
        <w:pStyle w:val="ConsPlusNormal"/>
        <w:bidi w:val="0"/>
        <w:spacing w:before="240" w:after="160"/>
        <w:ind w:left="0" w:right="0" w:firstLine="540"/>
        <w:jc w:val="both"/>
        <w:rPr/>
      </w:pPr>
      <w:r>
        <w:rPr/>
        <w:t>заключение (положительное или отрицательное) об оценке инвестиционного проекта на предмет экономической эффективности.</w:t>
      </w:r>
    </w:p>
    <w:p>
      <w:pPr>
        <w:pStyle w:val="ConsPlusNormal"/>
        <w:bidi w:val="0"/>
        <w:spacing w:before="240" w:after="160"/>
        <w:ind w:left="0" w:right="0" w:firstLine="540"/>
        <w:jc w:val="both"/>
        <w:rPr/>
      </w:pPr>
      <w:bookmarkStart w:id="2" w:name="Par45"/>
      <w:bookmarkEnd w:id="2"/>
      <w:r>
        <w:rPr/>
        <w:t>1.5. Оценка инвестиционных проектов на предмет соответствия инвестиционного проекта критерию бюджетной эффективности инвестиционного проекта (далее оценка инвестиционного проекта на предмет бюджетной эффективности) проводится министерством финансов Новгородской области. По итогам указанной оценки министерством финансов Новгородской области составляется заключение (положительное или отрицательное) об оценке инвестиционного проекта на предмет бюджетной эффективности.</w:t>
      </w:r>
    </w:p>
    <w:p>
      <w:pPr>
        <w:pStyle w:val="ConsPlusNormal"/>
        <w:bidi w:val="0"/>
        <w:spacing w:before="240" w:after="160"/>
        <w:ind w:left="0" w:right="0" w:firstLine="540"/>
        <w:jc w:val="both"/>
        <w:rPr/>
      </w:pPr>
      <w:r>
        <w:rPr/>
        <w:t xml:space="preserve">1.6. На основании заключений, предусмотренных </w:t>
      </w:r>
      <w:hyperlink w:anchor="Par41" w:tgtFrame="1.4. Оценка инвестиционных проектов на предмет соответствия инвестиционного проекта критериям социальной и экономической эффективности инвестиционного проекта (далее оценка инвестиционного проекта на предмет социальной эффективности, оценка инвестиционного проекта на предмет экономической эффективности) проводится органом исполнительной власти Новгородской области, реализующим полномочия в соответствующей сфере деятельности, в которой реализуется инвестиционный проект (далее отраслевой орган).">
        <w:r>
          <w:rPr>
            <w:color w:val="0000FF"/>
          </w:rPr>
          <w:t>пунктами 1.4</w:t>
        </w:r>
      </w:hyperlink>
      <w:r>
        <w:rPr/>
        <w:t xml:space="preserve">, </w:t>
      </w:r>
      <w:hyperlink w:anchor="Par45" w:tgtFrame="1.5. Оценка инвестиционных проектов на предмет соответствия инвестиционного проекта критерию бюджетной эффективности инвестиционного проекта (далее оценка инвестиционного проекта на предмет бюджетной эффективности) проводится министерством финансов Новгородской области. По итогам указанной оценки министерством финансов Новгородской области составляется заключение (положительное или отрицательное) об оценке инвестиционного проекта на предмет бюджетной эффективности.">
        <w:r>
          <w:rPr>
            <w:color w:val="0000FF"/>
          </w:rPr>
          <w:t>1.5</w:t>
        </w:r>
      </w:hyperlink>
      <w:r>
        <w:rPr/>
        <w:t xml:space="preserve"> настоящего Порядка, министерством инвестиционной политики Новгородской области (далее министерство) подготавливается Заключение.</w:t>
      </w:r>
    </w:p>
    <w:p>
      <w:pPr>
        <w:pStyle w:val="ConsPlusNormal"/>
        <w:bidi w:val="0"/>
        <w:ind w:left="0" w:right="0" w:hanging="0"/>
        <w:jc w:val="both"/>
        <w:rPr/>
      </w:pPr>
      <w:r>
        <w:rPr/>
      </w:r>
    </w:p>
    <w:p>
      <w:pPr>
        <w:pStyle w:val="ConsPlusTitle"/>
        <w:numPr>
          <w:ilvl w:val="0"/>
          <w:numId w:val="0"/>
        </w:numPr>
        <w:bidi w:val="0"/>
        <w:ind w:left="0" w:right="0" w:hanging="0"/>
        <w:jc w:val="center"/>
        <w:outlineLvl w:val="1"/>
        <w:rPr/>
      </w:pPr>
      <w:r>
        <w:rPr/>
        <w:t>2. Порядок подготовки Заключения, содержащего</w:t>
      </w:r>
    </w:p>
    <w:p>
      <w:pPr>
        <w:pStyle w:val="ConsPlusTitle"/>
        <w:bidi w:val="0"/>
        <w:ind w:left="0" w:right="0" w:hanging="0"/>
        <w:jc w:val="center"/>
        <w:rPr/>
      </w:pPr>
      <w:r>
        <w:rPr/>
        <w:t>вывод о соответствии или несоответствии инвестиционного</w:t>
      </w:r>
    </w:p>
    <w:p>
      <w:pPr>
        <w:pStyle w:val="ConsPlusTitle"/>
        <w:bidi w:val="0"/>
        <w:ind w:left="0" w:right="0" w:hanging="0"/>
        <w:jc w:val="center"/>
        <w:rPr/>
      </w:pPr>
      <w:r>
        <w:rPr/>
        <w:t>проекта критериям</w:t>
      </w:r>
    </w:p>
    <w:p>
      <w:pPr>
        <w:pStyle w:val="ConsPlusNormal"/>
        <w:bidi w:val="0"/>
        <w:ind w:left="0" w:right="0" w:hanging="0"/>
        <w:jc w:val="both"/>
        <w:rPr/>
      </w:pPr>
      <w:r>
        <w:rPr/>
      </w:r>
    </w:p>
    <w:p>
      <w:pPr>
        <w:pStyle w:val="ConsPlusNormal"/>
        <w:bidi w:val="0"/>
        <w:ind w:left="0" w:right="0" w:firstLine="540"/>
        <w:jc w:val="both"/>
        <w:rPr/>
      </w:pPr>
      <w:r>
        <w:rPr/>
        <w:t xml:space="preserve">2.1. Основанием для проведения оценки инвестиционного проекта в соответствии с настоящим Порядком является поступление в министерство заявления о рассмотрении инвестиционного проекта и прилагаемых к нему документов, направляемых в министерство в соответствии с требованиями к перечню прилагаемых к такому заявлению документов, срокам подачи, форме и содержанию указанного заявления и прилагаемых документов, установленными </w:t>
      </w:r>
      <w:hyperlink r:id="rId5">
        <w:r>
          <w:rPr>
            <w:color w:val="0000FF"/>
          </w:rPr>
          <w:t>пунктом 16</w:t>
        </w:r>
      </w:hyperlink>
      <w:r>
        <w:rPr/>
        <w:t xml:space="preserve"> Правил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утвержденных Постановлением Правительства Российской Федерации от 13 сентября 2022 года N 1602 "О соглашениях о защите и поощрении капиталовложений" (далее документы).</w:t>
      </w:r>
    </w:p>
    <w:p>
      <w:pPr>
        <w:pStyle w:val="ConsPlusNormal"/>
        <w:bidi w:val="0"/>
        <w:spacing w:before="240" w:after="160"/>
        <w:ind w:left="0" w:right="0" w:firstLine="540"/>
        <w:jc w:val="both"/>
        <w:rPr/>
      </w:pPr>
      <w:r>
        <w:rPr/>
        <w:t>Министерство регистрирует представленные организацией, реализующей проект, документы в день поступления с использованием системы электронного документооборота органов исполнительной власти Новгородской области и не позднее следующего рабочего дня уведомляет Министерство экономического развития Российской Федерации о поступлении заявления о рассмотрении инвестиционного проекта в государственной информационной системе "Капиталовложения" с соблюдением требований законодательства Российской Федерации о коммерческой тайне.</w:t>
      </w:r>
    </w:p>
    <w:p>
      <w:pPr>
        <w:pStyle w:val="ConsPlusNormal"/>
        <w:bidi w:val="0"/>
        <w:spacing w:before="240" w:after="160"/>
        <w:ind w:left="0" w:right="0" w:firstLine="540"/>
        <w:jc w:val="both"/>
        <w:rPr/>
      </w:pPr>
      <w:bookmarkStart w:id="3" w:name="Par54"/>
      <w:bookmarkEnd w:id="3"/>
      <w:r>
        <w:rPr/>
        <w:t>2.2. Министерство в течение 3 рабочих дней со дня регистрации документов направляет их электронные копии с использованием системы электронного документооборота органов исполнительной власти Новгородской области:</w:t>
      </w:r>
    </w:p>
    <w:p>
      <w:pPr>
        <w:pStyle w:val="ConsPlusNormal"/>
        <w:bidi w:val="0"/>
        <w:spacing w:before="240" w:after="160"/>
        <w:ind w:left="0" w:right="0" w:firstLine="540"/>
        <w:jc w:val="both"/>
        <w:rPr/>
      </w:pPr>
      <w:r>
        <w:rPr/>
        <w:t>в отраслевой орган для проведения оценки инвестиционного проекта на предмет социальной и экономической эффективности и подготовки соответствующих заключений;</w:t>
      </w:r>
    </w:p>
    <w:p>
      <w:pPr>
        <w:pStyle w:val="ConsPlusNormal"/>
        <w:bidi w:val="0"/>
        <w:spacing w:before="240" w:after="160"/>
        <w:ind w:left="0" w:right="0" w:firstLine="540"/>
        <w:jc w:val="both"/>
        <w:rPr/>
      </w:pPr>
      <w:r>
        <w:rPr/>
        <w:t>в министерство финансов Новгородской области для проведения оценки инвестиционного проекта на предмет бюджетной эффективности и подготовки соответствующего заключения.</w:t>
      </w:r>
    </w:p>
    <w:p>
      <w:pPr>
        <w:pStyle w:val="ConsPlusNormal"/>
        <w:bidi w:val="0"/>
        <w:spacing w:before="240" w:after="160"/>
        <w:ind w:left="0" w:right="0" w:firstLine="540"/>
        <w:jc w:val="both"/>
        <w:rPr/>
      </w:pPr>
      <w:r>
        <w:rPr/>
        <w:t xml:space="preserve">2.3. Срок проведения отраслевым органом и министерством финансов Новгородской области оценки инвестиционного проекта на предмет социальной, экономической и бюджетной эффективности, подготовки и направления соответствующих заключений в министерство не может превышать 20 рабочих дней со дня регистрации соответствующим отраслевым органом направленных в соответствии с </w:t>
      </w:r>
      <w:hyperlink w:anchor="Par54" w:tgtFrame="2.2. Министерство в течение 3 рабочих дней со дня регистрации документов направляет их электронные копии с использованием системы электронного документооборота органов исполнительной власти Новгородской области:">
        <w:r>
          <w:rPr>
            <w:color w:val="0000FF"/>
          </w:rPr>
          <w:t>пунктом 2.2</w:t>
        </w:r>
      </w:hyperlink>
      <w:r>
        <w:rPr/>
        <w:t xml:space="preserve"> настоящего Порядка электронных копий документов.</w:t>
      </w:r>
    </w:p>
    <w:p>
      <w:pPr>
        <w:pStyle w:val="ConsPlusNormal"/>
        <w:bidi w:val="0"/>
        <w:spacing w:before="240" w:after="160"/>
        <w:ind w:left="0" w:right="0" w:firstLine="540"/>
        <w:jc w:val="both"/>
        <w:rPr/>
      </w:pPr>
      <w:r>
        <w:rPr/>
        <w:t xml:space="preserve">2.4. Заключения отраслевого органа и министерства финансов Новгородской области должны содержать выводы о соответствии или несоответствии инвестиционного проекта критериям, рассчитанным в соответствии с </w:t>
      </w:r>
      <w:hyperlink w:anchor="Par65" w:tgtFrame="3. Расчет критериев эффективного использования средств">
        <w:r>
          <w:rPr>
            <w:color w:val="0000FF"/>
          </w:rPr>
          <w:t>разделом 3</w:t>
        </w:r>
      </w:hyperlink>
      <w:r>
        <w:rPr/>
        <w:t xml:space="preserve"> настоящего Порядка.</w:t>
      </w:r>
    </w:p>
    <w:p>
      <w:pPr>
        <w:pStyle w:val="ConsPlusNormal"/>
        <w:bidi w:val="0"/>
        <w:spacing w:before="240" w:after="160"/>
        <w:ind w:left="0" w:right="0" w:firstLine="540"/>
        <w:jc w:val="both"/>
        <w:rPr/>
      </w:pPr>
      <w:r>
        <w:rPr/>
        <w:t>В случае соответствия инвестиционного проекта критериям составляется положительное заключение, в случае несоответствия - отрицательное заключение.</w:t>
      </w:r>
    </w:p>
    <w:p>
      <w:pPr>
        <w:pStyle w:val="ConsPlusNormal"/>
        <w:bidi w:val="0"/>
        <w:spacing w:before="240" w:after="160"/>
        <w:ind w:left="0" w:right="0" w:firstLine="540"/>
        <w:jc w:val="both"/>
        <w:rPr/>
      </w:pPr>
      <w:r>
        <w:rPr/>
        <w:t>2.5. Министерство в течение 5 рабочих дней со дня поступления заключений отраслевого органа и министерства финансов Новгородской области подготавливает на их основании Заключение (положительное или отрицательное).</w:t>
      </w:r>
    </w:p>
    <w:p>
      <w:pPr>
        <w:pStyle w:val="ConsPlusNormal"/>
        <w:bidi w:val="0"/>
        <w:spacing w:before="240" w:after="160"/>
        <w:ind w:left="0" w:right="0" w:firstLine="540"/>
        <w:jc w:val="both"/>
        <w:rPr/>
      </w:pPr>
      <w:r>
        <w:rPr/>
        <w:t>В случае если заключения отраслевого органа и министерства финансов Новгородской области являются положительными, министерством подготавливается Заключение о соответствии инвестиционного проекта критериям (положительное Заключение).</w:t>
      </w:r>
    </w:p>
    <w:p>
      <w:pPr>
        <w:pStyle w:val="ConsPlusNormal"/>
        <w:bidi w:val="0"/>
        <w:spacing w:before="240" w:after="160"/>
        <w:ind w:left="0" w:right="0" w:firstLine="540"/>
        <w:jc w:val="both"/>
        <w:rPr/>
      </w:pPr>
      <w:r>
        <w:rPr/>
        <w:t>В иных случаях министерством составляется Заключение о несоответствии инвестиционного проекта критериям (отрицательное Заключение).</w:t>
      </w:r>
    </w:p>
    <w:p>
      <w:pPr>
        <w:pStyle w:val="ConsPlusNormal"/>
        <w:bidi w:val="0"/>
        <w:spacing w:before="240" w:after="160"/>
        <w:ind w:left="0" w:right="0" w:firstLine="540"/>
        <w:jc w:val="both"/>
        <w:rPr/>
      </w:pPr>
      <w:r>
        <w:rPr/>
        <w:t>2.6. Министерство в течение 5 рабочих дней со дня подготовки Заключения, но не позднее тридцатого рабочего дня со дня регистрации документов министерством, направляет уведомление о результатах рассмотрения заявления о рассмотрении инвестиционного проекта в организацию, реализующую проект, и Министерство экономического развития Российской Федерации с приложением Заключения любым доступным способом, позволяющим подтвердить получение уведомления.</w:t>
      </w:r>
    </w:p>
    <w:p>
      <w:pPr>
        <w:pStyle w:val="ConsPlusNormal"/>
        <w:bidi w:val="0"/>
        <w:ind w:left="0" w:right="0" w:hanging="0"/>
        <w:jc w:val="both"/>
        <w:rPr/>
      </w:pPr>
      <w:r>
        <w:rPr/>
      </w:r>
    </w:p>
    <w:p>
      <w:pPr>
        <w:pStyle w:val="ConsPlusTitle"/>
        <w:numPr>
          <w:ilvl w:val="0"/>
          <w:numId w:val="0"/>
        </w:numPr>
        <w:bidi w:val="0"/>
        <w:ind w:left="0" w:right="0" w:hanging="0"/>
        <w:jc w:val="center"/>
        <w:outlineLvl w:val="1"/>
        <w:rPr/>
      </w:pPr>
      <w:bookmarkStart w:id="4" w:name="Par65"/>
      <w:bookmarkEnd w:id="4"/>
      <w:r>
        <w:rPr/>
        <w:t>3. Расчет критериев эффективного использования средств</w:t>
      </w:r>
    </w:p>
    <w:p>
      <w:pPr>
        <w:pStyle w:val="ConsPlusTitle"/>
        <w:bidi w:val="0"/>
        <w:ind w:left="0" w:right="0" w:hanging="0"/>
        <w:jc w:val="center"/>
        <w:rPr/>
      </w:pPr>
      <w:r>
        <w:rPr/>
        <w:t>областного бюджета в целях применения мер государственной</w:t>
      </w:r>
    </w:p>
    <w:p>
      <w:pPr>
        <w:pStyle w:val="ConsPlusTitle"/>
        <w:bidi w:val="0"/>
        <w:ind w:left="0" w:right="0" w:hanging="0"/>
        <w:jc w:val="center"/>
        <w:rPr/>
      </w:pPr>
      <w:r>
        <w:rPr/>
        <w:t>(муниципальной) поддержки, осуществляемых в рамках</w:t>
      </w:r>
    </w:p>
    <w:p>
      <w:pPr>
        <w:pStyle w:val="ConsPlusTitle"/>
        <w:bidi w:val="0"/>
        <w:ind w:left="0" w:right="0" w:hanging="0"/>
        <w:jc w:val="center"/>
        <w:rPr/>
      </w:pPr>
      <w:r>
        <w:rPr/>
        <w:t>соглашений о защите и поощрении капиталовложений</w:t>
      </w:r>
    </w:p>
    <w:p>
      <w:pPr>
        <w:pStyle w:val="ConsPlusNormal"/>
        <w:bidi w:val="0"/>
        <w:ind w:left="0" w:right="0" w:hanging="0"/>
        <w:jc w:val="both"/>
        <w:rPr/>
      </w:pPr>
      <w:r>
        <w:rPr/>
      </w:r>
    </w:p>
    <w:p>
      <w:pPr>
        <w:pStyle w:val="ConsPlusNormal"/>
        <w:bidi w:val="0"/>
        <w:ind w:left="0" w:right="0" w:firstLine="540"/>
        <w:jc w:val="both"/>
        <w:rPr/>
      </w:pPr>
      <w:r>
        <w:rPr/>
        <w:t>3.1. Расчет социальной эффективности инвестиционного проекта производится по формуле:</w:t>
      </w:r>
    </w:p>
    <w:p>
      <w:pPr>
        <w:pStyle w:val="ConsPlusNormal"/>
        <w:bidi w:val="0"/>
        <w:ind w:left="0" w:right="0" w:hanging="0"/>
        <w:jc w:val="both"/>
        <w:rPr/>
      </w:pPr>
      <w:r>
        <w:rPr/>
      </w:r>
    </w:p>
    <w:p>
      <w:pPr>
        <w:pStyle w:val="ConsPlusNormal"/>
        <w:bidi w:val="0"/>
        <w:ind w:left="0" w:right="0" w:hanging="0"/>
        <w:jc w:val="center"/>
        <w:rPr/>
      </w:pPr>
      <w:r>
        <w:rPr/>
        <w:t>К</w:t>
      </w:r>
      <w:r>
        <w:rPr>
          <w:vertAlign w:val="subscript"/>
        </w:rPr>
        <w:t>сэ</w:t>
      </w:r>
      <w:r>
        <w:rPr/>
        <w:t xml:space="preserve"> = И1 + И2 + И3, где:</w:t>
      </w:r>
    </w:p>
    <w:p>
      <w:pPr>
        <w:pStyle w:val="ConsPlusNormal"/>
        <w:bidi w:val="0"/>
        <w:ind w:left="0" w:right="0" w:hanging="0"/>
        <w:jc w:val="both"/>
        <w:rPr/>
      </w:pPr>
      <w:r>
        <w:rPr/>
      </w:r>
    </w:p>
    <w:tbl>
      <w:tblPr>
        <w:tblW w:w="9043" w:type="dxa"/>
        <w:jc w:val="left"/>
        <w:tblInd w:w="-62" w:type="dxa"/>
        <w:tblLayout w:type="fixed"/>
        <w:tblCellMar>
          <w:top w:w="102" w:type="dxa"/>
          <w:left w:w="62" w:type="dxa"/>
          <w:bottom w:w="102" w:type="dxa"/>
          <w:right w:w="62" w:type="dxa"/>
        </w:tblCellMar>
      </w:tblPr>
      <w:tblGrid>
        <w:gridCol w:w="708"/>
        <w:gridCol w:w="340"/>
        <w:gridCol w:w="7995"/>
      </w:tblGrid>
      <w:tr>
        <w:trPr/>
        <w:tc>
          <w:tcPr>
            <w:tcW w:w="708" w:type="dxa"/>
            <w:tcBorders/>
          </w:tcPr>
          <w:p>
            <w:pPr>
              <w:pStyle w:val="ConsPlusNormal"/>
              <w:widowControl w:val="false"/>
              <w:tabs>
                <w:tab w:val="clear" w:pos="720"/>
              </w:tabs>
              <w:bidi w:val="0"/>
              <w:ind w:left="0" w:right="0" w:hanging="0"/>
              <w:rPr/>
            </w:pPr>
            <w:r>
              <w:rPr/>
              <w:t>К</w:t>
            </w:r>
            <w:r>
              <w:rPr>
                <w:vertAlign w:val="subscript"/>
              </w:rPr>
              <w:t>сэ</w:t>
            </w:r>
          </w:p>
        </w:tc>
        <w:tc>
          <w:tcPr>
            <w:tcW w:w="340" w:type="dxa"/>
            <w:tcBorders/>
          </w:tcPr>
          <w:p>
            <w:pPr>
              <w:pStyle w:val="ConsPlusNormal"/>
              <w:widowControl w:val="false"/>
              <w:tabs>
                <w:tab w:val="clear" w:pos="720"/>
              </w:tabs>
              <w:bidi w:val="0"/>
              <w:ind w:left="0" w:right="0" w:hanging="0"/>
              <w:rPr/>
            </w:pPr>
            <w:r>
              <w:rPr/>
              <w:t>-</w:t>
            </w:r>
          </w:p>
        </w:tc>
        <w:tc>
          <w:tcPr>
            <w:tcW w:w="7995" w:type="dxa"/>
            <w:tcBorders/>
          </w:tcPr>
          <w:p>
            <w:pPr>
              <w:pStyle w:val="ConsPlusNormal"/>
              <w:widowControl w:val="false"/>
              <w:tabs>
                <w:tab w:val="clear" w:pos="720"/>
              </w:tabs>
              <w:bidi w:val="0"/>
              <w:ind w:left="0" w:right="0" w:hanging="0"/>
              <w:rPr/>
            </w:pPr>
            <w:r>
              <w:rPr/>
              <w:t>значение социальной эффективности инвестиционного проекта;</w:t>
            </w:r>
          </w:p>
        </w:tc>
      </w:tr>
      <w:tr>
        <w:trPr/>
        <w:tc>
          <w:tcPr>
            <w:tcW w:w="708" w:type="dxa"/>
            <w:tcBorders/>
          </w:tcPr>
          <w:p>
            <w:pPr>
              <w:pStyle w:val="ConsPlusNormal"/>
              <w:widowControl w:val="false"/>
              <w:bidi w:val="0"/>
              <w:ind w:left="0" w:right="0" w:hanging="0"/>
              <w:rPr/>
            </w:pPr>
            <w:r>
              <w:rPr/>
              <w:t>И1</w:t>
            </w:r>
          </w:p>
        </w:tc>
        <w:tc>
          <w:tcPr>
            <w:tcW w:w="340" w:type="dxa"/>
            <w:tcBorders/>
          </w:tcPr>
          <w:p>
            <w:pPr>
              <w:pStyle w:val="ConsPlusNormal"/>
              <w:widowControl w:val="false"/>
              <w:bidi w:val="0"/>
              <w:ind w:left="0" w:right="0" w:hanging="0"/>
              <w:rPr/>
            </w:pPr>
            <w:r>
              <w:rPr/>
              <w:t>-</w:t>
            </w:r>
          </w:p>
        </w:tc>
        <w:tc>
          <w:tcPr>
            <w:tcW w:w="7995" w:type="dxa"/>
            <w:tcBorders/>
          </w:tcPr>
          <w:p>
            <w:pPr>
              <w:pStyle w:val="ConsPlusNormal"/>
              <w:widowControl w:val="false"/>
              <w:bidi w:val="0"/>
              <w:ind w:left="0" w:right="0" w:hanging="0"/>
              <w:rPr/>
            </w:pPr>
            <w:r>
              <w:rPr/>
              <w:t xml:space="preserve">значение индикатора соответствия отрасли, в которой реализуется инвестиционный проект, перспективной экономической специализации Новгородской области согласно перечню перспективных экономических специализаций субъектов Российской Федерации, установленному </w:t>
            </w:r>
            <w:hyperlink r:id="rId6">
              <w:r>
                <w:rPr>
                  <w:color w:val="0000FF"/>
                </w:rPr>
                <w:t>Стратегией</w:t>
              </w:r>
            </w:hyperlink>
            <w:r>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N 207-р (далее Стратегия пространственного развития);</w:t>
            </w:r>
          </w:p>
        </w:tc>
      </w:tr>
      <w:tr>
        <w:trPr/>
        <w:tc>
          <w:tcPr>
            <w:tcW w:w="708" w:type="dxa"/>
            <w:tcBorders/>
          </w:tcPr>
          <w:p>
            <w:pPr>
              <w:pStyle w:val="ConsPlusNormal"/>
              <w:widowControl w:val="false"/>
              <w:bidi w:val="0"/>
              <w:ind w:left="0" w:right="0" w:hanging="0"/>
              <w:rPr/>
            </w:pPr>
            <w:r>
              <w:rPr/>
              <w:t>И2</w:t>
            </w:r>
          </w:p>
        </w:tc>
        <w:tc>
          <w:tcPr>
            <w:tcW w:w="340" w:type="dxa"/>
            <w:tcBorders/>
          </w:tcPr>
          <w:p>
            <w:pPr>
              <w:pStyle w:val="ConsPlusNormal"/>
              <w:widowControl w:val="false"/>
              <w:bidi w:val="0"/>
              <w:ind w:left="0" w:right="0" w:hanging="0"/>
              <w:rPr/>
            </w:pPr>
            <w:r>
              <w:rPr/>
              <w:t>-</w:t>
            </w:r>
          </w:p>
        </w:tc>
        <w:tc>
          <w:tcPr>
            <w:tcW w:w="7995" w:type="dxa"/>
            <w:tcBorders/>
          </w:tcPr>
          <w:p>
            <w:pPr>
              <w:pStyle w:val="ConsPlusNormal"/>
              <w:widowControl w:val="false"/>
              <w:bidi w:val="0"/>
              <w:ind w:left="0" w:right="0" w:hanging="0"/>
              <w:rPr/>
            </w:pPr>
            <w:r>
              <w:rPr/>
              <w:t>значение индикатора создания дополнительных рабочих мест в рамках реализации инвестиционного проекта;</w:t>
            </w:r>
          </w:p>
        </w:tc>
      </w:tr>
      <w:tr>
        <w:trPr/>
        <w:tc>
          <w:tcPr>
            <w:tcW w:w="708" w:type="dxa"/>
            <w:tcBorders/>
          </w:tcPr>
          <w:p>
            <w:pPr>
              <w:pStyle w:val="ConsPlusNormal"/>
              <w:widowControl w:val="false"/>
              <w:bidi w:val="0"/>
              <w:ind w:left="0" w:right="0" w:hanging="0"/>
              <w:rPr/>
            </w:pPr>
            <w:r>
              <w:rPr/>
              <w:t>И3</w:t>
            </w:r>
          </w:p>
        </w:tc>
        <w:tc>
          <w:tcPr>
            <w:tcW w:w="340" w:type="dxa"/>
            <w:tcBorders/>
          </w:tcPr>
          <w:p>
            <w:pPr>
              <w:pStyle w:val="ConsPlusNormal"/>
              <w:widowControl w:val="false"/>
              <w:bidi w:val="0"/>
              <w:ind w:left="0" w:right="0" w:hanging="0"/>
              <w:rPr/>
            </w:pPr>
            <w:r>
              <w:rPr/>
              <w:t>-</w:t>
            </w:r>
          </w:p>
        </w:tc>
        <w:tc>
          <w:tcPr>
            <w:tcW w:w="7995" w:type="dxa"/>
            <w:tcBorders/>
          </w:tcPr>
          <w:p>
            <w:pPr>
              <w:pStyle w:val="ConsPlusNormal"/>
              <w:widowControl w:val="false"/>
              <w:bidi w:val="0"/>
              <w:ind w:left="0" w:right="0" w:hanging="0"/>
              <w:rPr/>
            </w:pPr>
            <w:r>
              <w:rPr/>
              <w:t>значение индикатора уровня средней заработной платы в рамках реализации инвестиционного проекта.</w:t>
            </w:r>
          </w:p>
        </w:tc>
      </w:tr>
    </w:tbl>
    <w:p>
      <w:pPr>
        <w:pStyle w:val="ConsPlusNormal"/>
        <w:widowControl w:val="false"/>
        <w:bidi w:val="0"/>
        <w:ind w:left="0" w:right="0" w:hanging="0"/>
        <w:jc w:val="both"/>
        <w:rPr/>
      </w:pPr>
      <w:r>
        <w:rPr/>
      </w:r>
    </w:p>
    <w:p>
      <w:pPr>
        <w:pStyle w:val="ConsPlusNormal"/>
        <w:bidi w:val="0"/>
        <w:ind w:left="0" w:right="0" w:firstLine="540"/>
        <w:jc w:val="both"/>
        <w:rPr/>
      </w:pPr>
      <w:r>
        <w:rPr/>
        <w:t>Значение индикаторов, используемых для расчета социальной эффективности инвестиционного проекта (далее индикатор социальной эффективности), определяется с помощью таблицы 1.</w:t>
      </w:r>
    </w:p>
    <w:p>
      <w:pPr>
        <w:pStyle w:val="ConsPlusNormal"/>
        <w:bidi w:val="0"/>
        <w:ind w:left="0" w:right="0" w:hanging="0"/>
        <w:jc w:val="both"/>
        <w:rPr/>
      </w:pPr>
      <w:r>
        <w:rPr/>
      </w:r>
    </w:p>
    <w:p>
      <w:pPr>
        <w:pStyle w:val="ConsPlusNormal"/>
        <w:bidi w:val="0"/>
        <w:ind w:left="0" w:right="0" w:firstLine="540"/>
        <w:jc w:val="both"/>
        <w:rPr/>
      </w:pPr>
      <w:r>
        <w:rPr/>
        <w:t>Таблица 1 - Индикаторы социальной эффективности</w:t>
      </w:r>
    </w:p>
    <w:p>
      <w:pPr>
        <w:pStyle w:val="ConsPlusNormal"/>
        <w:bidi w:val="0"/>
        <w:ind w:left="0" w:right="0" w:hanging="0"/>
        <w:jc w:val="both"/>
        <w:rPr/>
      </w:pPr>
      <w:r>
        <w:rPr/>
      </w:r>
    </w:p>
    <w:tbl>
      <w:tblPr>
        <w:tblW w:w="9071" w:type="dxa"/>
        <w:jc w:val="left"/>
        <w:tblInd w:w="-62" w:type="dxa"/>
        <w:tblLayout w:type="fixed"/>
        <w:tblCellMar>
          <w:top w:w="102" w:type="dxa"/>
          <w:left w:w="62" w:type="dxa"/>
          <w:bottom w:w="102" w:type="dxa"/>
          <w:right w:w="62" w:type="dxa"/>
        </w:tblCellMar>
      </w:tblPr>
      <w:tblGrid>
        <w:gridCol w:w="624"/>
        <w:gridCol w:w="850"/>
        <w:gridCol w:w="6236"/>
        <w:gridCol w:w="1360"/>
      </w:tblGrid>
      <w:tr>
        <w:trPr/>
        <w:tc>
          <w:tcPr>
            <w:tcW w:w="6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right="0" w:hanging="0"/>
              <w:jc w:val="center"/>
              <w:rPr/>
            </w:pPr>
            <w:r>
              <w:rPr/>
              <w:t>N п/п</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right="0" w:hanging="0"/>
              <w:jc w:val="center"/>
              <w:rPr/>
            </w:pPr>
            <w:r>
              <w:rPr/>
              <w:t>Код индикатора</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right="0" w:hanging="0"/>
              <w:jc w:val="center"/>
              <w:rPr/>
            </w:pPr>
            <w:r>
              <w:rPr/>
              <w:t>Наименование индикатора, условие</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bidi w:val="0"/>
              <w:ind w:left="0" w:right="0" w:hanging="0"/>
              <w:jc w:val="center"/>
              <w:rPr/>
            </w:pPr>
            <w:r>
              <w:rPr/>
              <w:t>Значение индикатора</w:t>
            </w:r>
          </w:p>
        </w:tc>
      </w:tr>
      <w:tr>
        <w:trPr/>
        <w:tc>
          <w:tcPr>
            <w:tcW w:w="62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bidi w:val="0"/>
              <w:ind w:left="0" w:right="0" w:hanging="0"/>
              <w:jc w:val="center"/>
              <w:rPr/>
            </w:pPr>
            <w:r>
              <w:rPr/>
              <w:t>1</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bidi w:val="0"/>
              <w:ind w:left="0" w:right="0" w:hanging="0"/>
              <w:jc w:val="center"/>
              <w:rPr/>
            </w:pPr>
            <w:r>
              <w:rPr/>
              <w:t>2</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bidi w:val="0"/>
              <w:ind w:left="0" w:right="0" w:hanging="0"/>
              <w:jc w:val="center"/>
              <w:rPr/>
            </w:pPr>
            <w:r>
              <w:rPr/>
              <w:t>3</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bidi w:val="0"/>
              <w:ind w:left="0" w:right="0" w:hanging="0"/>
              <w:jc w:val="center"/>
              <w:rPr/>
            </w:pPr>
            <w:r>
              <w:rPr/>
              <w:t>4</w:t>
            </w:r>
          </w:p>
        </w:tc>
      </w:tr>
      <w:tr>
        <w:trPr/>
        <w:tc>
          <w:tcPr>
            <w:tcW w:w="6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jc w:val="center"/>
              <w:rPr/>
            </w:pPr>
            <w:r>
              <w:rPr/>
              <w:t>1.</w:t>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jc w:val="center"/>
              <w:rPr/>
            </w:pPr>
            <w:r>
              <w:rPr/>
              <w:t>И1</w:t>
            </w:r>
          </w:p>
        </w:tc>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rPr/>
            </w:pPr>
            <w:r>
              <w:rPr/>
              <w:t>Индикатор соответствия отрасли, в которой реализуется инвестиционный проект, перспективной экономической специализации Новгородской области согласно перечню перспективных экономических специализаций субъектов Российской Федерации, установленному Стратегией пространственного развития</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rPr/>
            </w:pPr>
            <w:r>
              <w:rPr/>
            </w:r>
          </w:p>
        </w:tc>
      </w:tr>
      <w:tr>
        <w:trPr/>
        <w:tc>
          <w:tcPr>
            <w:tcW w:w="62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rPr/>
            </w:pPr>
            <w:r>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rPr/>
            </w:pPr>
            <w:r>
              <w:rPr/>
            </w:r>
          </w:p>
        </w:tc>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rPr/>
            </w:pPr>
            <w:r>
              <w:rPr/>
              <w:t>соответствие отрасли, в которой реализуется инвестиционный проект, перспективной экономической специализации Новгородской области согласно перечню перспективных экономических специализаций субъектов Российской Федерации, установленному Стратегией пространственного развития</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rPr/>
            </w:pPr>
            <w:r>
              <w:rPr/>
              <w:t>1</w:t>
            </w:r>
          </w:p>
        </w:tc>
      </w:tr>
      <w:tr>
        <w:trPr/>
        <w:tc>
          <w:tcPr>
            <w:tcW w:w="62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bidi w:val="0"/>
              <w:ind w:left="0" w:right="0" w:hanging="0"/>
              <w:rPr/>
            </w:pPr>
            <w:r>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bidi w:val="0"/>
              <w:ind w:left="0" w:right="0" w:hanging="0"/>
              <w:rPr/>
            </w:pPr>
            <w:r>
              <w:rPr/>
            </w:r>
          </w:p>
        </w:tc>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bidi w:val="0"/>
              <w:ind w:left="0" w:right="0" w:hanging="0"/>
              <w:rPr/>
            </w:pPr>
            <w:r>
              <w:rPr/>
              <w:t>несоответствие отрасли, в которой реализуется инвестиционный проект, перспективной экономической специализации Новгородской области согласно перечню перспективных экономических специализаций субъектов Российской Федерации, установленному Стратегией пространственного развития</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bidi w:val="0"/>
              <w:ind w:left="0" w:right="0" w:hanging="0"/>
              <w:rPr/>
            </w:pPr>
            <w:r>
              <w:rPr/>
              <w:t>0</w:t>
            </w:r>
          </w:p>
        </w:tc>
      </w:tr>
      <w:tr>
        <w:trPr/>
        <w:tc>
          <w:tcPr>
            <w:tcW w:w="6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jc w:val="center"/>
              <w:rPr/>
            </w:pPr>
            <w:r>
              <w:rPr/>
              <w:t>2.</w:t>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jc w:val="center"/>
              <w:rPr/>
            </w:pPr>
            <w:r>
              <w:rPr/>
              <w:t>И2</w:t>
            </w:r>
          </w:p>
        </w:tc>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rPr/>
            </w:pPr>
            <w:r>
              <w:rPr/>
              <w:t>Индикатор создания дополнительных рабочих мест в рамках реализации инвестиционного проекта</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rPr/>
            </w:pPr>
            <w:r>
              <w:rPr/>
            </w:r>
          </w:p>
        </w:tc>
      </w:tr>
      <w:tr>
        <w:trPr/>
        <w:tc>
          <w:tcPr>
            <w:tcW w:w="62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rPr/>
            </w:pPr>
            <w:r>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rPr/>
            </w:pPr>
            <w:r>
              <w:rPr/>
            </w:r>
          </w:p>
        </w:tc>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rPr/>
            </w:pPr>
            <w:r>
              <w:rPr/>
              <w:t>предусмотрено создание дополнительных рабочих мест</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rPr/>
            </w:pPr>
            <w:r>
              <w:rPr/>
              <w:t>1</w:t>
            </w:r>
          </w:p>
        </w:tc>
      </w:tr>
      <w:tr>
        <w:trPr/>
        <w:tc>
          <w:tcPr>
            <w:tcW w:w="62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bidi w:val="0"/>
              <w:ind w:left="0" w:right="0" w:hanging="0"/>
              <w:rPr/>
            </w:pPr>
            <w:r>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bidi w:val="0"/>
              <w:ind w:left="0" w:right="0" w:hanging="0"/>
              <w:rPr/>
            </w:pPr>
            <w:r>
              <w:rPr/>
            </w:r>
          </w:p>
        </w:tc>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bidi w:val="0"/>
              <w:ind w:left="0" w:right="0" w:hanging="0"/>
              <w:rPr/>
            </w:pPr>
            <w:r>
              <w:rPr/>
              <w:t>не предусмотрено создание дополнительных рабочих мест</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bidi w:val="0"/>
              <w:ind w:left="0" w:right="0" w:hanging="0"/>
              <w:rPr/>
            </w:pPr>
            <w:r>
              <w:rPr/>
              <w:t>0</w:t>
            </w:r>
          </w:p>
        </w:tc>
      </w:tr>
      <w:tr>
        <w:trPr/>
        <w:tc>
          <w:tcPr>
            <w:tcW w:w="6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jc w:val="center"/>
              <w:rPr/>
            </w:pPr>
            <w:r>
              <w:rPr/>
              <w:t>3.</w:t>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jc w:val="center"/>
              <w:rPr/>
            </w:pPr>
            <w:r>
              <w:rPr/>
              <w:t>И3</w:t>
            </w:r>
          </w:p>
        </w:tc>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rPr/>
            </w:pPr>
            <w:r>
              <w:rPr/>
              <w:t>Индикатор уровня средней заработной платы в рамках реализации инвестиционного проекта</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rPr/>
            </w:pPr>
            <w:r>
              <w:rPr/>
            </w:r>
          </w:p>
        </w:tc>
      </w:tr>
      <w:tr>
        <w:trPr/>
        <w:tc>
          <w:tcPr>
            <w:tcW w:w="62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rPr/>
            </w:pPr>
            <w:r>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rPr/>
            </w:pPr>
            <w:r>
              <w:rPr/>
            </w:r>
          </w:p>
        </w:tc>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rPr/>
            </w:pPr>
            <w:r>
              <w:rPr/>
              <w:t>инвестиционным проектом предусмотрено сохранение значения фактической и прогнозной среднемесячной начисленной заработной платы работников не ниже уровня средней заработной платы по Новгородской области в отрасли, соответствующей отрасли, в которой реализуется инвестиционный проект</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right="0" w:hanging="0"/>
              <w:rPr/>
            </w:pPr>
            <w:r>
              <w:rPr/>
              <w:t>1</w:t>
            </w:r>
          </w:p>
        </w:tc>
      </w:tr>
      <w:tr>
        <w:trPr/>
        <w:tc>
          <w:tcPr>
            <w:tcW w:w="62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bidi w:val="0"/>
              <w:ind w:left="0" w:right="0" w:hanging="0"/>
              <w:rPr/>
            </w:pPr>
            <w:r>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bidi w:val="0"/>
              <w:ind w:left="0" w:right="0" w:hanging="0"/>
              <w:rPr/>
            </w:pPr>
            <w:r>
              <w:rPr/>
            </w:r>
          </w:p>
        </w:tc>
        <w:tc>
          <w:tcPr>
            <w:tcW w:w="6236" w:type="dxa"/>
            <w:tcBorders>
              <w:top w:val="single" w:sz="4" w:space="0" w:color="000000"/>
              <w:left w:val="single" w:sz="4" w:space="0" w:color="000000"/>
              <w:bottom w:val="single" w:sz="4" w:space="0" w:color="000000"/>
              <w:right w:val="single" w:sz="4" w:space="0" w:color="000000"/>
            </w:tcBorders>
          </w:tcPr>
          <w:p>
            <w:pPr>
              <w:pStyle w:val="ConsPlusNormal"/>
              <w:widowControl w:val="false"/>
              <w:bidi w:val="0"/>
              <w:ind w:left="0" w:right="0" w:hanging="0"/>
              <w:rPr/>
            </w:pPr>
            <w:r>
              <w:rPr/>
              <w:t>инвестиционным проектом не предусмотрено сохранение значения фактической и прогнозной среднемесячной начисленной заработной платы работников не ниже уровня средней заработной платы по Новгородской области в отрасли, соответствующей отрасли, в которой реализуется инвестиционный проект</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bidi w:val="0"/>
              <w:ind w:left="0" w:right="0" w:hanging="0"/>
              <w:rPr/>
            </w:pPr>
            <w:r>
              <w:rPr/>
              <w:t>0</w:t>
            </w:r>
          </w:p>
        </w:tc>
      </w:tr>
    </w:tbl>
    <w:p>
      <w:pPr>
        <w:pStyle w:val="ConsPlusNormal"/>
        <w:widowControl w:val="false"/>
        <w:bidi w:val="0"/>
        <w:ind w:left="0" w:right="0" w:hanging="0"/>
        <w:jc w:val="both"/>
        <w:rPr/>
      </w:pPr>
      <w:r>
        <w:rPr/>
      </w:r>
    </w:p>
    <w:p>
      <w:pPr>
        <w:pStyle w:val="ConsPlusNormal"/>
        <w:bidi w:val="0"/>
        <w:ind w:left="0" w:right="0" w:firstLine="540"/>
        <w:jc w:val="both"/>
        <w:rPr/>
      </w:pPr>
      <w:r>
        <w:rPr/>
        <w:t>В случае если значение социальной эффективности инвестиционного проекта (К</w:t>
      </w:r>
      <w:r>
        <w:rPr>
          <w:vertAlign w:val="subscript"/>
        </w:rPr>
        <w:t>сэ</w:t>
      </w:r>
      <w:r>
        <w:rPr/>
        <w:t>) &gt;= 2, то инвестиционный проект признается соответствующим критерию социальной эффективности инвестиционного проекта.</w:t>
      </w:r>
    </w:p>
    <w:p>
      <w:pPr>
        <w:pStyle w:val="ConsPlusNormal"/>
        <w:bidi w:val="0"/>
        <w:spacing w:before="240" w:after="160"/>
        <w:ind w:left="0" w:right="0" w:firstLine="540"/>
        <w:jc w:val="both"/>
        <w:rPr/>
      </w:pPr>
      <w:r>
        <w:rPr/>
        <w:t>3.2. Расчет экономической эффективности инвестиционного проекта производится по формуле:</w:t>
      </w:r>
    </w:p>
    <w:p>
      <w:pPr>
        <w:pStyle w:val="ConsPlusNormal"/>
        <w:bidi w:val="0"/>
        <w:ind w:left="0" w:right="0" w:hanging="0"/>
        <w:jc w:val="both"/>
        <w:rPr/>
      </w:pPr>
      <w:r>
        <w:rPr/>
      </w:r>
    </w:p>
    <w:p>
      <w:pPr>
        <w:pStyle w:val="ConsPlusNormal"/>
        <w:bidi w:val="0"/>
        <w:ind w:left="0" w:right="0" w:hanging="0"/>
        <w:jc w:val="center"/>
        <w:rPr/>
      </w:pPr>
      <w:r>
        <w:rPr/>
        <w:drawing>
          <wp:inline distT="0" distB="0" distL="0" distR="0">
            <wp:extent cx="2503170" cy="5143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7"/>
                    <a:stretch>
                      <a:fillRect/>
                    </a:stretch>
                  </pic:blipFill>
                  <pic:spPr bwMode="auto">
                    <a:xfrm>
                      <a:off x="0" y="0"/>
                      <a:ext cx="2503170" cy="514350"/>
                    </a:xfrm>
                    <a:prstGeom prst="rect">
                      <a:avLst/>
                    </a:prstGeom>
                  </pic:spPr>
                </pic:pic>
              </a:graphicData>
            </a:graphic>
          </wp:inline>
        </w:drawing>
      </w:r>
    </w:p>
    <w:p>
      <w:pPr>
        <w:pStyle w:val="ConsPlusNormal"/>
        <w:bidi w:val="0"/>
        <w:ind w:left="0" w:right="0" w:hanging="0"/>
        <w:jc w:val="both"/>
        <w:rPr/>
      </w:pPr>
      <w:r>
        <w:rPr/>
      </w:r>
    </w:p>
    <w:tbl>
      <w:tblPr>
        <w:tblW w:w="9043" w:type="dxa"/>
        <w:jc w:val="left"/>
        <w:tblInd w:w="-62" w:type="dxa"/>
        <w:tblLayout w:type="fixed"/>
        <w:tblCellMar>
          <w:top w:w="102" w:type="dxa"/>
          <w:left w:w="62" w:type="dxa"/>
          <w:bottom w:w="102" w:type="dxa"/>
          <w:right w:w="62" w:type="dxa"/>
        </w:tblCellMar>
      </w:tblPr>
      <w:tblGrid>
        <w:gridCol w:w="708"/>
        <w:gridCol w:w="340"/>
        <w:gridCol w:w="7995"/>
      </w:tblGrid>
      <w:tr>
        <w:trPr/>
        <w:tc>
          <w:tcPr>
            <w:tcW w:w="708" w:type="dxa"/>
            <w:tcBorders/>
          </w:tcPr>
          <w:p>
            <w:pPr>
              <w:pStyle w:val="ConsPlusNormal"/>
              <w:widowControl w:val="false"/>
              <w:tabs>
                <w:tab w:val="clear" w:pos="720"/>
              </w:tabs>
              <w:bidi w:val="0"/>
              <w:ind w:left="0" w:right="0" w:hanging="0"/>
              <w:rPr/>
            </w:pPr>
            <w:r>
              <w:rPr/>
              <w:t>Э</w:t>
            </w:r>
            <w:r>
              <w:rPr>
                <w:vertAlign w:val="subscript"/>
              </w:rPr>
              <w:t>эф</w:t>
            </w:r>
          </w:p>
        </w:tc>
        <w:tc>
          <w:tcPr>
            <w:tcW w:w="340" w:type="dxa"/>
            <w:tcBorders/>
          </w:tcPr>
          <w:p>
            <w:pPr>
              <w:pStyle w:val="ConsPlusNormal"/>
              <w:widowControl w:val="false"/>
              <w:tabs>
                <w:tab w:val="clear" w:pos="720"/>
              </w:tabs>
              <w:bidi w:val="0"/>
              <w:ind w:left="0" w:right="0" w:hanging="0"/>
              <w:rPr/>
            </w:pPr>
            <w:r>
              <w:rPr/>
              <w:t>-</w:t>
            </w:r>
          </w:p>
        </w:tc>
        <w:tc>
          <w:tcPr>
            <w:tcW w:w="7995" w:type="dxa"/>
            <w:tcBorders/>
          </w:tcPr>
          <w:p>
            <w:pPr>
              <w:pStyle w:val="ConsPlusNormal"/>
              <w:widowControl w:val="false"/>
              <w:tabs>
                <w:tab w:val="clear" w:pos="720"/>
              </w:tabs>
              <w:bidi w:val="0"/>
              <w:ind w:left="0" w:right="0" w:hanging="0"/>
              <w:rPr/>
            </w:pPr>
            <w:r>
              <w:rPr/>
              <w:t>значение экономической эффективности инвестиционного проекта (руб.);</w:t>
            </w:r>
          </w:p>
        </w:tc>
      </w:tr>
      <w:tr>
        <w:trPr/>
        <w:tc>
          <w:tcPr>
            <w:tcW w:w="708" w:type="dxa"/>
            <w:tcBorders/>
          </w:tcPr>
          <w:p>
            <w:pPr>
              <w:pStyle w:val="ConsPlusNormal"/>
              <w:widowControl w:val="false"/>
              <w:bidi w:val="0"/>
              <w:ind w:left="0" w:right="0" w:hanging="0"/>
              <w:rPr/>
            </w:pPr>
            <w:r>
              <w:rPr/>
              <w:t>П</w:t>
            </w:r>
            <w:r>
              <w:rPr>
                <w:vertAlign w:val="subscript"/>
              </w:rPr>
              <w:t>i</w:t>
            </w:r>
          </w:p>
        </w:tc>
        <w:tc>
          <w:tcPr>
            <w:tcW w:w="340" w:type="dxa"/>
            <w:tcBorders/>
          </w:tcPr>
          <w:p>
            <w:pPr>
              <w:pStyle w:val="ConsPlusNormal"/>
              <w:widowControl w:val="false"/>
              <w:bidi w:val="0"/>
              <w:ind w:left="0" w:right="0" w:hanging="0"/>
              <w:rPr/>
            </w:pPr>
            <w:r>
              <w:rPr/>
              <w:t>-</w:t>
            </w:r>
          </w:p>
        </w:tc>
        <w:tc>
          <w:tcPr>
            <w:tcW w:w="7995" w:type="dxa"/>
            <w:tcBorders/>
          </w:tcPr>
          <w:p>
            <w:pPr>
              <w:pStyle w:val="ConsPlusNormal"/>
              <w:widowControl w:val="false"/>
              <w:bidi w:val="0"/>
              <w:ind w:left="0" w:right="0" w:hanging="0"/>
              <w:rPr/>
            </w:pPr>
            <w:r>
              <w:rPr/>
              <w:t>объем ожидаемых поступлений денежных средств в рамках реализации инвестиционного проекта за i-й год;</w:t>
            </w:r>
          </w:p>
        </w:tc>
      </w:tr>
      <w:tr>
        <w:trPr/>
        <w:tc>
          <w:tcPr>
            <w:tcW w:w="708" w:type="dxa"/>
            <w:tcBorders/>
          </w:tcPr>
          <w:p>
            <w:pPr>
              <w:pStyle w:val="ConsPlusNormal"/>
              <w:widowControl w:val="false"/>
              <w:bidi w:val="0"/>
              <w:ind w:left="0" w:right="0" w:hanging="0"/>
              <w:rPr/>
            </w:pPr>
            <w:r>
              <w:rPr/>
              <w:t>Р</w:t>
            </w:r>
            <w:r>
              <w:rPr>
                <w:vertAlign w:val="subscript"/>
              </w:rPr>
              <w:t>i</w:t>
            </w:r>
          </w:p>
        </w:tc>
        <w:tc>
          <w:tcPr>
            <w:tcW w:w="340" w:type="dxa"/>
            <w:tcBorders/>
          </w:tcPr>
          <w:p>
            <w:pPr>
              <w:pStyle w:val="ConsPlusNormal"/>
              <w:widowControl w:val="false"/>
              <w:bidi w:val="0"/>
              <w:ind w:left="0" w:right="0" w:hanging="0"/>
              <w:rPr/>
            </w:pPr>
            <w:r>
              <w:rPr/>
              <w:t>-</w:t>
            </w:r>
          </w:p>
        </w:tc>
        <w:tc>
          <w:tcPr>
            <w:tcW w:w="7995" w:type="dxa"/>
            <w:tcBorders/>
          </w:tcPr>
          <w:p>
            <w:pPr>
              <w:pStyle w:val="ConsPlusNormal"/>
              <w:widowControl w:val="false"/>
              <w:bidi w:val="0"/>
              <w:ind w:left="0" w:right="0" w:hanging="0"/>
              <w:rPr/>
            </w:pPr>
            <w:r>
              <w:rPr/>
              <w:t>объем ожидаемых расходов денежных средств в рамках реализации инвестиционного проекта за i-й год;</w:t>
            </w:r>
          </w:p>
        </w:tc>
      </w:tr>
      <w:tr>
        <w:trPr/>
        <w:tc>
          <w:tcPr>
            <w:tcW w:w="708" w:type="dxa"/>
            <w:tcBorders/>
          </w:tcPr>
          <w:p>
            <w:pPr>
              <w:pStyle w:val="ConsPlusNormal"/>
              <w:widowControl w:val="false"/>
              <w:bidi w:val="0"/>
              <w:ind w:left="0" w:right="0" w:hanging="0"/>
              <w:rPr/>
            </w:pPr>
            <w:r>
              <w:rPr/>
              <w:t>К</w:t>
            </w:r>
            <w:r>
              <w:rPr>
                <w:vertAlign w:val="subscript"/>
              </w:rPr>
              <w:t>с</w:t>
            </w:r>
          </w:p>
        </w:tc>
        <w:tc>
          <w:tcPr>
            <w:tcW w:w="340" w:type="dxa"/>
            <w:tcBorders/>
          </w:tcPr>
          <w:p>
            <w:pPr>
              <w:pStyle w:val="ConsPlusNormal"/>
              <w:widowControl w:val="false"/>
              <w:bidi w:val="0"/>
              <w:ind w:left="0" w:right="0" w:hanging="0"/>
              <w:rPr/>
            </w:pPr>
            <w:r>
              <w:rPr/>
              <w:t>-</w:t>
            </w:r>
          </w:p>
        </w:tc>
        <w:tc>
          <w:tcPr>
            <w:tcW w:w="7995" w:type="dxa"/>
            <w:tcBorders/>
          </w:tcPr>
          <w:p>
            <w:pPr>
              <w:pStyle w:val="ConsPlusNormal"/>
              <w:widowControl w:val="false"/>
              <w:bidi w:val="0"/>
              <w:ind w:left="0" w:right="0" w:hanging="0"/>
              <w:rPr/>
            </w:pPr>
            <w:r>
              <w:rPr/>
              <w:t>ключевая ставка, установленная Центральным банком Российской Федерации на дату проведения расчетов;</w:t>
            </w:r>
          </w:p>
        </w:tc>
      </w:tr>
      <w:tr>
        <w:trPr/>
        <w:tc>
          <w:tcPr>
            <w:tcW w:w="708" w:type="dxa"/>
            <w:tcBorders/>
          </w:tcPr>
          <w:p>
            <w:pPr>
              <w:pStyle w:val="ConsPlusNormal"/>
              <w:widowControl w:val="false"/>
              <w:bidi w:val="0"/>
              <w:ind w:left="0" w:right="0" w:hanging="0"/>
              <w:rPr/>
            </w:pPr>
            <w:r>
              <w:rPr/>
              <w:t>n</w:t>
            </w:r>
          </w:p>
        </w:tc>
        <w:tc>
          <w:tcPr>
            <w:tcW w:w="340" w:type="dxa"/>
            <w:tcBorders/>
          </w:tcPr>
          <w:p>
            <w:pPr>
              <w:pStyle w:val="ConsPlusNormal"/>
              <w:widowControl w:val="false"/>
              <w:bidi w:val="0"/>
              <w:ind w:left="0" w:right="0" w:hanging="0"/>
              <w:rPr/>
            </w:pPr>
            <w:r>
              <w:rPr/>
              <w:t>-</w:t>
            </w:r>
          </w:p>
        </w:tc>
        <w:tc>
          <w:tcPr>
            <w:tcW w:w="7995" w:type="dxa"/>
            <w:tcBorders/>
          </w:tcPr>
          <w:p>
            <w:pPr>
              <w:pStyle w:val="ConsPlusNormal"/>
              <w:widowControl w:val="false"/>
              <w:bidi w:val="0"/>
              <w:ind w:left="0" w:right="0" w:hanging="0"/>
              <w:rPr/>
            </w:pPr>
            <w:r>
              <w:rPr/>
              <w:t>временной период действия Соглашения.</w:t>
            </w:r>
          </w:p>
        </w:tc>
      </w:tr>
    </w:tbl>
    <w:p>
      <w:pPr>
        <w:pStyle w:val="ConsPlusNormal"/>
        <w:widowControl w:val="false"/>
        <w:bidi w:val="0"/>
        <w:ind w:left="0" w:right="0" w:hanging="0"/>
        <w:jc w:val="both"/>
        <w:rPr/>
      </w:pPr>
      <w:r>
        <w:rPr/>
      </w:r>
    </w:p>
    <w:p>
      <w:pPr>
        <w:pStyle w:val="ConsPlusNormal"/>
        <w:bidi w:val="0"/>
        <w:ind w:left="0" w:right="0" w:firstLine="540"/>
        <w:jc w:val="both"/>
        <w:rPr/>
      </w:pPr>
      <w:r>
        <w:rPr/>
        <w:t>В случае если значение экономической эффективности инвестиционного проекта (Э</w:t>
      </w:r>
      <w:r>
        <w:rPr>
          <w:vertAlign w:val="subscript"/>
        </w:rPr>
        <w:t>эф</w:t>
      </w:r>
      <w:r>
        <w:rPr/>
        <w:t>) &gt;= 0, то инвестиционный проект признается соответствующим критерию экономической эффективности инвестиционного проекта.</w:t>
      </w:r>
    </w:p>
    <w:p>
      <w:pPr>
        <w:pStyle w:val="ConsPlusNormal"/>
        <w:bidi w:val="0"/>
        <w:spacing w:before="240" w:after="160"/>
        <w:ind w:left="0" w:right="0" w:firstLine="540"/>
        <w:jc w:val="both"/>
        <w:rPr/>
      </w:pPr>
      <w:r>
        <w:rPr/>
        <w:t>3.3. Расчет бюджетной эффективности от реализации инвестиционного проекта производится по формуле:</w:t>
      </w:r>
    </w:p>
    <w:p>
      <w:pPr>
        <w:pStyle w:val="ConsPlusNormal"/>
        <w:bidi w:val="0"/>
        <w:ind w:left="0" w:right="0" w:hanging="0"/>
        <w:jc w:val="both"/>
        <w:rPr/>
      </w:pPr>
      <w:r>
        <w:rPr/>
      </w:r>
    </w:p>
    <w:p>
      <w:pPr>
        <w:pStyle w:val="ConsPlusNormal"/>
        <w:bidi w:val="0"/>
        <w:ind w:left="0" w:right="0" w:hanging="0"/>
        <w:jc w:val="center"/>
        <w:rPr/>
      </w:pPr>
      <w:r>
        <w:rPr/>
        <w:drawing>
          <wp:inline distT="0" distB="0" distL="0" distR="0">
            <wp:extent cx="3017520" cy="5143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8"/>
                    <a:stretch>
                      <a:fillRect/>
                    </a:stretch>
                  </pic:blipFill>
                  <pic:spPr bwMode="auto">
                    <a:xfrm>
                      <a:off x="0" y="0"/>
                      <a:ext cx="3017520" cy="514350"/>
                    </a:xfrm>
                    <a:prstGeom prst="rect">
                      <a:avLst/>
                    </a:prstGeom>
                  </pic:spPr>
                </pic:pic>
              </a:graphicData>
            </a:graphic>
          </wp:inline>
        </w:drawing>
      </w:r>
    </w:p>
    <w:p>
      <w:pPr>
        <w:pStyle w:val="ConsPlusNormal"/>
        <w:bidi w:val="0"/>
        <w:ind w:left="0" w:right="0" w:hanging="0"/>
        <w:jc w:val="both"/>
        <w:rPr/>
      </w:pPr>
      <w:r>
        <w:rPr/>
      </w:r>
    </w:p>
    <w:tbl>
      <w:tblPr>
        <w:tblW w:w="9043" w:type="dxa"/>
        <w:jc w:val="left"/>
        <w:tblInd w:w="-62" w:type="dxa"/>
        <w:tblLayout w:type="fixed"/>
        <w:tblCellMar>
          <w:top w:w="102" w:type="dxa"/>
          <w:left w:w="62" w:type="dxa"/>
          <w:bottom w:w="102" w:type="dxa"/>
          <w:right w:w="62" w:type="dxa"/>
        </w:tblCellMar>
      </w:tblPr>
      <w:tblGrid>
        <w:gridCol w:w="708"/>
        <w:gridCol w:w="340"/>
        <w:gridCol w:w="7995"/>
      </w:tblGrid>
      <w:tr>
        <w:trPr/>
        <w:tc>
          <w:tcPr>
            <w:tcW w:w="708" w:type="dxa"/>
            <w:tcBorders/>
          </w:tcPr>
          <w:p>
            <w:pPr>
              <w:pStyle w:val="ConsPlusNormal"/>
              <w:widowControl w:val="false"/>
              <w:bidi w:val="0"/>
              <w:ind w:left="0" w:right="0" w:hanging="0"/>
              <w:rPr/>
            </w:pPr>
            <w:r>
              <w:rPr/>
              <w:t>Б</w:t>
            </w:r>
            <w:r>
              <w:rPr>
                <w:vertAlign w:val="subscript"/>
              </w:rPr>
              <w:t>эф</w:t>
            </w:r>
          </w:p>
        </w:tc>
        <w:tc>
          <w:tcPr>
            <w:tcW w:w="340" w:type="dxa"/>
            <w:tcBorders/>
          </w:tcPr>
          <w:p>
            <w:pPr>
              <w:pStyle w:val="ConsPlusNormal"/>
              <w:widowControl w:val="false"/>
              <w:bidi w:val="0"/>
              <w:ind w:left="0" w:right="0" w:hanging="0"/>
              <w:rPr/>
            </w:pPr>
            <w:r>
              <w:rPr/>
              <w:t>-</w:t>
            </w:r>
          </w:p>
        </w:tc>
        <w:tc>
          <w:tcPr>
            <w:tcW w:w="7995" w:type="dxa"/>
            <w:tcBorders/>
          </w:tcPr>
          <w:p>
            <w:pPr>
              <w:pStyle w:val="ConsPlusNormal"/>
              <w:widowControl w:val="false"/>
              <w:bidi w:val="0"/>
              <w:ind w:left="0" w:right="0" w:hanging="0"/>
              <w:rPr/>
            </w:pPr>
            <w:r>
              <w:rPr/>
              <w:t>значение бюджетной эффективности инвестиционного проекта (руб.);</w:t>
            </w:r>
          </w:p>
        </w:tc>
      </w:tr>
      <w:tr>
        <w:trPr/>
        <w:tc>
          <w:tcPr>
            <w:tcW w:w="708" w:type="dxa"/>
            <w:tcBorders/>
          </w:tcPr>
          <w:p>
            <w:pPr>
              <w:pStyle w:val="ConsPlusNormal"/>
              <w:widowControl w:val="false"/>
              <w:bidi w:val="0"/>
              <w:ind w:left="0" w:right="0" w:hanging="0"/>
              <w:rPr/>
            </w:pPr>
            <w:r>
              <w:rPr/>
              <w:t>Д</w:t>
            </w:r>
            <w:r>
              <w:rPr>
                <w:vertAlign w:val="subscript"/>
              </w:rPr>
              <w:t>i</w:t>
            </w:r>
          </w:p>
        </w:tc>
        <w:tc>
          <w:tcPr>
            <w:tcW w:w="340" w:type="dxa"/>
            <w:tcBorders/>
          </w:tcPr>
          <w:p>
            <w:pPr>
              <w:pStyle w:val="ConsPlusNormal"/>
              <w:widowControl w:val="false"/>
              <w:bidi w:val="0"/>
              <w:ind w:left="0" w:right="0" w:hanging="0"/>
              <w:rPr/>
            </w:pPr>
            <w:r>
              <w:rPr/>
              <w:t>-</w:t>
            </w:r>
          </w:p>
        </w:tc>
        <w:tc>
          <w:tcPr>
            <w:tcW w:w="7995" w:type="dxa"/>
            <w:tcBorders/>
          </w:tcPr>
          <w:p>
            <w:pPr>
              <w:pStyle w:val="ConsPlusNormal"/>
              <w:widowControl w:val="false"/>
              <w:bidi w:val="0"/>
              <w:ind w:left="0" w:right="0" w:hanging="0"/>
              <w:rPr/>
            </w:pPr>
            <w:r>
              <w:rPr/>
              <w:t>объем поступлений в консолидированный бюджет Новгородской области от реализации инвестиционного проекта за i-й год;</w:t>
            </w:r>
          </w:p>
        </w:tc>
      </w:tr>
      <w:tr>
        <w:trPr/>
        <w:tc>
          <w:tcPr>
            <w:tcW w:w="708" w:type="dxa"/>
            <w:tcBorders/>
          </w:tcPr>
          <w:p>
            <w:pPr>
              <w:pStyle w:val="ConsPlusNormal"/>
              <w:widowControl w:val="false"/>
              <w:bidi w:val="0"/>
              <w:ind w:left="0" w:right="0" w:hanging="0"/>
              <w:rPr/>
            </w:pPr>
            <w:r>
              <w:rPr/>
              <w:t>РБ</w:t>
            </w:r>
            <w:r>
              <w:rPr>
                <w:vertAlign w:val="subscript"/>
              </w:rPr>
              <w:t>i</w:t>
            </w:r>
          </w:p>
        </w:tc>
        <w:tc>
          <w:tcPr>
            <w:tcW w:w="340" w:type="dxa"/>
            <w:tcBorders/>
          </w:tcPr>
          <w:p>
            <w:pPr>
              <w:pStyle w:val="ConsPlusNormal"/>
              <w:widowControl w:val="false"/>
              <w:bidi w:val="0"/>
              <w:ind w:left="0" w:right="0" w:hanging="0"/>
              <w:rPr/>
            </w:pPr>
            <w:r>
              <w:rPr/>
              <w:t>-</w:t>
            </w:r>
          </w:p>
        </w:tc>
        <w:tc>
          <w:tcPr>
            <w:tcW w:w="7995" w:type="dxa"/>
            <w:tcBorders/>
          </w:tcPr>
          <w:p>
            <w:pPr>
              <w:pStyle w:val="ConsPlusNormal"/>
              <w:widowControl w:val="false"/>
              <w:bidi w:val="0"/>
              <w:ind w:left="0" w:right="0" w:hanging="0"/>
              <w:rPr/>
            </w:pPr>
            <w:r>
              <w:rPr/>
              <w:t>объем средств, направляемых из консолидированного бюджета Новгородской области, на реализацию инвестиционного проекта в i-м году в качестве мер государственной (муниципальной) поддержки;</w:t>
            </w:r>
          </w:p>
        </w:tc>
      </w:tr>
      <w:tr>
        <w:trPr/>
        <w:tc>
          <w:tcPr>
            <w:tcW w:w="708" w:type="dxa"/>
            <w:tcBorders/>
          </w:tcPr>
          <w:p>
            <w:pPr>
              <w:pStyle w:val="ConsPlusNormal"/>
              <w:widowControl w:val="false"/>
              <w:bidi w:val="0"/>
              <w:ind w:left="0" w:right="0" w:hanging="0"/>
              <w:rPr/>
            </w:pPr>
            <w:r>
              <w:rPr/>
              <w:t>НР</w:t>
            </w:r>
            <w:r>
              <w:rPr>
                <w:vertAlign w:val="subscript"/>
              </w:rPr>
              <w:t>i</w:t>
            </w:r>
          </w:p>
        </w:tc>
        <w:tc>
          <w:tcPr>
            <w:tcW w:w="340" w:type="dxa"/>
            <w:tcBorders/>
          </w:tcPr>
          <w:p>
            <w:pPr>
              <w:pStyle w:val="ConsPlusNormal"/>
              <w:widowControl w:val="false"/>
              <w:bidi w:val="0"/>
              <w:ind w:left="0" w:right="0" w:hanging="0"/>
              <w:rPr/>
            </w:pPr>
            <w:r>
              <w:rPr/>
              <w:t>-</w:t>
            </w:r>
          </w:p>
        </w:tc>
        <w:tc>
          <w:tcPr>
            <w:tcW w:w="7995" w:type="dxa"/>
            <w:tcBorders/>
          </w:tcPr>
          <w:p>
            <w:pPr>
              <w:pStyle w:val="ConsPlusNormal"/>
              <w:widowControl w:val="false"/>
              <w:bidi w:val="0"/>
              <w:ind w:left="0" w:right="0" w:hanging="0"/>
              <w:rPr/>
            </w:pPr>
            <w:r>
              <w:rPr/>
              <w:t>объем налоговых расходов Новгородской области - выпадающие доходы консолидированного бюджета Новгородской области, обусловленные налоговыми льготами, освобождениями и иными преференциями по налогам и сборам;</w:t>
            </w:r>
          </w:p>
        </w:tc>
      </w:tr>
      <w:tr>
        <w:trPr/>
        <w:tc>
          <w:tcPr>
            <w:tcW w:w="708" w:type="dxa"/>
            <w:tcBorders/>
          </w:tcPr>
          <w:p>
            <w:pPr>
              <w:pStyle w:val="ConsPlusNormal"/>
              <w:widowControl w:val="false"/>
              <w:bidi w:val="0"/>
              <w:ind w:left="0" w:right="0" w:hanging="0"/>
              <w:rPr/>
            </w:pPr>
            <w:r>
              <w:rPr/>
              <w:t>К</w:t>
            </w:r>
            <w:r>
              <w:rPr>
                <w:vertAlign w:val="subscript"/>
              </w:rPr>
              <w:t>с</w:t>
            </w:r>
          </w:p>
        </w:tc>
        <w:tc>
          <w:tcPr>
            <w:tcW w:w="340" w:type="dxa"/>
            <w:tcBorders/>
          </w:tcPr>
          <w:p>
            <w:pPr>
              <w:pStyle w:val="ConsPlusNormal"/>
              <w:widowControl w:val="false"/>
              <w:bidi w:val="0"/>
              <w:ind w:left="0" w:right="0" w:hanging="0"/>
              <w:rPr/>
            </w:pPr>
            <w:r>
              <w:rPr/>
              <w:t>-</w:t>
            </w:r>
          </w:p>
        </w:tc>
        <w:tc>
          <w:tcPr>
            <w:tcW w:w="7995" w:type="dxa"/>
            <w:tcBorders/>
          </w:tcPr>
          <w:p>
            <w:pPr>
              <w:pStyle w:val="ConsPlusNormal"/>
              <w:widowControl w:val="false"/>
              <w:bidi w:val="0"/>
              <w:ind w:left="0" w:right="0" w:hanging="0"/>
              <w:rPr/>
            </w:pPr>
            <w:r>
              <w:rPr/>
              <w:t>ключевая ставка, установленная Центральным банком Российской Федерации на дату проведения расчетов;</w:t>
            </w:r>
          </w:p>
        </w:tc>
      </w:tr>
      <w:tr>
        <w:trPr/>
        <w:tc>
          <w:tcPr>
            <w:tcW w:w="708" w:type="dxa"/>
            <w:tcBorders/>
          </w:tcPr>
          <w:p>
            <w:pPr>
              <w:pStyle w:val="ConsPlusNormal"/>
              <w:widowControl w:val="false"/>
              <w:bidi w:val="0"/>
              <w:ind w:left="0" w:right="0" w:hanging="0"/>
              <w:rPr/>
            </w:pPr>
            <w:r>
              <w:rPr/>
              <w:t>n</w:t>
            </w:r>
          </w:p>
        </w:tc>
        <w:tc>
          <w:tcPr>
            <w:tcW w:w="340" w:type="dxa"/>
            <w:tcBorders/>
          </w:tcPr>
          <w:p>
            <w:pPr>
              <w:pStyle w:val="ConsPlusNormal"/>
              <w:widowControl w:val="false"/>
              <w:bidi w:val="0"/>
              <w:ind w:left="0" w:right="0" w:hanging="0"/>
              <w:rPr/>
            </w:pPr>
            <w:r>
              <w:rPr/>
              <w:t>-</w:t>
            </w:r>
          </w:p>
        </w:tc>
        <w:tc>
          <w:tcPr>
            <w:tcW w:w="7995" w:type="dxa"/>
            <w:tcBorders/>
          </w:tcPr>
          <w:p>
            <w:pPr>
              <w:pStyle w:val="ConsPlusNormal"/>
              <w:widowControl w:val="false"/>
              <w:bidi w:val="0"/>
              <w:ind w:left="0" w:right="0" w:hanging="0"/>
              <w:rPr/>
            </w:pPr>
            <w:r>
              <w:rPr/>
              <w:t>временной период действия Соглашения.</w:t>
            </w:r>
          </w:p>
        </w:tc>
      </w:tr>
    </w:tbl>
    <w:p>
      <w:pPr>
        <w:pStyle w:val="ConsPlusNormal"/>
        <w:widowControl w:val="false"/>
        <w:bidi w:val="0"/>
        <w:ind w:left="0" w:right="0" w:hanging="0"/>
        <w:jc w:val="both"/>
        <w:rPr/>
      </w:pPr>
      <w:r>
        <w:rPr/>
      </w:r>
    </w:p>
    <w:p>
      <w:pPr>
        <w:pStyle w:val="ConsPlusNormal"/>
        <w:bidi w:val="0"/>
        <w:ind w:left="0" w:right="0" w:firstLine="540"/>
        <w:jc w:val="both"/>
        <w:rPr/>
      </w:pPr>
      <w:r>
        <w:rPr/>
        <w:t>В случае если значение бюджетной эффективности инвестиционного проекта (Б</w:t>
      </w:r>
      <w:r>
        <w:rPr>
          <w:vertAlign w:val="subscript"/>
        </w:rPr>
        <w:t>эф</w:t>
      </w:r>
      <w:r>
        <w:rPr/>
        <w:t>) &gt;= 0, то инвестиционный проект признается соответствующим критерию бюджетной эффективности инвестиционного проекта.</w:t>
      </w:r>
    </w:p>
    <w:p>
      <w:pPr>
        <w:pStyle w:val="ConsPlusNormal"/>
        <w:bidi w:val="0"/>
        <w:ind w:left="0" w:right="0" w:hanging="0"/>
        <w:jc w:val="both"/>
        <w:rPr/>
      </w:pPr>
      <w:r>
        <w:rPr/>
      </w:r>
    </w:p>
    <w:p>
      <w:pPr>
        <w:pStyle w:val="ConsPlusNormal"/>
        <w:bidi w:val="0"/>
        <w:ind w:left="0" w:right="0" w:hanging="0"/>
        <w:jc w:val="both"/>
        <w:rPr/>
      </w:pPr>
      <w:r>
        <w:rPr/>
      </w:r>
    </w:p>
    <w:p>
      <w:pPr>
        <w:pStyle w:val="ConsPlusNormal"/>
        <w:pBdr>
          <w:top w:val="single" w:sz="6" w:space="0" w:color="000000"/>
        </w:pBdr>
        <w:bidi w:val="0"/>
        <w:spacing w:before="100" w:after="100"/>
        <w:ind w:left="0" w:right="0" w:hanging="0"/>
        <w:jc w:val="both"/>
        <w:rPr/>
      </w:pPr>
      <w:r>
        <w:rPr/>
      </w:r>
    </w:p>
    <w:sectPr>
      <w:headerReference w:type="default" r:id="rId9"/>
      <w:footerReference w:type="default" r:id="rId10"/>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ourier New">
    <w:charset w:val="01"/>
    <w:family w:val="roman"/>
    <w:pitch w:val="variable"/>
  </w:font>
  <w:font w:name="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ind w:left="0" w:right="0" w:hanging="0"/>
      <w:jc w:val="center"/>
      <w:rPr>
        <w:sz w:val="2"/>
        <w:szCs w:val="2"/>
      </w:rPr>
    </w:pPr>
    <w:r>
      <w:rPr>
        <w:sz w:val="2"/>
        <w:szCs w:val="2"/>
      </w:rPr>
    </w:r>
  </w:p>
  <w:p>
    <w:pPr>
      <w:pStyle w:val="ConsPlusNormal"/>
      <w:bidi w:val="0"/>
      <w:ind w:left="0" w:right="0" w:hanging="0"/>
      <w:rPr>
        <w:sz w:val="2"/>
        <w:szCs w:val="2"/>
      </w:rPr>
    </w:pPr>
    <w:r>
      <w:rPr>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ind w:left="0" w:right="0" w:hanging="0"/>
      <w:jc w:val="center"/>
      <w:rPr>
        <w:sz w:val="2"/>
        <w:szCs w:val="2"/>
      </w:rPr>
    </w:pPr>
    <w:r>
      <w:rPr>
        <w:sz w:val="2"/>
        <w:szCs w:val="2"/>
      </w:rPr>
    </w:r>
  </w:p>
  <w:p>
    <w:pPr>
      <w:pStyle w:val="ConsPlusNormal"/>
      <w:bidi w:val="0"/>
      <w:ind w:left="0" w:right="0" w:hanging="0"/>
      <w:rPr/>
    </w:pPr>
    <w:r>
      <w:rPr>
        <w:sz w:val="10"/>
        <w:szCs w:val="10"/>
      </w:rPr>
      <w:t xml:space="preserve"> </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Devanagari"/>
        <w:kern w:val="2"/>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ru-RU" w:eastAsia="ru-RU" w:bidi="ar-SA"/>
    </w:rPr>
  </w:style>
  <w:style w:type="character" w:styleId="DefaultParagraphFont">
    <w:name w:val="Default Paragraph Font"/>
    <w:qFormat/>
    <w:rPr/>
  </w:style>
  <w:style w:type="character" w:styleId="Style14">
    <w:name w:val="Верхний колонтитул Знак"/>
    <w:basedOn w:val="DefaultParagraphFont"/>
    <w:qFormat/>
    <w:rPr>
      <w:rFonts w:ascii="Times New Roman" w:hAnsi="Times New Roman" w:eastAsia="Times New Roman"/>
      <w:sz w:val="24"/>
      <w:szCs w:val="24"/>
    </w:rPr>
  </w:style>
  <w:style w:type="character" w:styleId="Style15">
    <w:name w:val="Нижний колонтитул Знак"/>
    <w:basedOn w:val="DefaultParagraphFont"/>
    <w:qFormat/>
    <w:rPr>
      <w:rFonts w:ascii="Times New Roman" w:hAnsi="Times New Roman" w:eastAsia="Times New Roman"/>
      <w:sz w:val="24"/>
      <w:szCs w:val="24"/>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Source Han Sans CN"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NormalTable">
    <w:name w:val="Normal Table"/>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ru-RU" w:eastAsia="ru-RU" w:bidi="ar-SA"/>
    </w:rPr>
  </w:style>
  <w:style w:type="paragraph" w:styleId="ConsPlusNormal">
    <w:name w:val="ConsPlusNormal"/>
    <w:qFormat/>
    <w:pPr>
      <w:widowControl w:val="false"/>
      <w:bidi w:val="0"/>
      <w:jc w:val="left"/>
      <w:textAlignment w:val="auto"/>
    </w:pPr>
    <w:rPr>
      <w:rFonts w:ascii="Times New Roman" w:hAnsi="Times New Roman" w:eastAsia="Times New Roman" w:cs="Times New Roman"/>
      <w:color w:val="auto"/>
      <w:kern w:val="2"/>
      <w:sz w:val="24"/>
      <w:szCs w:val="24"/>
      <w:lang w:val="ru-RU" w:eastAsia="ru-RU" w:bidi="ar-SA"/>
    </w:rPr>
  </w:style>
  <w:style w:type="paragraph" w:styleId="ConsPlusNonformat">
    <w:name w:val="ConsPlusNonformat"/>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Title">
    <w:name w:val="ConsPlusTitle"/>
    <w:qFormat/>
    <w:pPr>
      <w:widowControl w:val="false"/>
      <w:bidi w:val="0"/>
      <w:jc w:val="left"/>
      <w:textAlignment w:val="auto"/>
    </w:pPr>
    <w:rPr>
      <w:rFonts w:ascii="Arial" w:hAnsi="Arial" w:eastAsia="Times New Roman" w:cs="Arial"/>
      <w:b/>
      <w:bCs/>
      <w:color w:val="auto"/>
      <w:kern w:val="2"/>
      <w:sz w:val="24"/>
      <w:szCs w:val="24"/>
      <w:lang w:val="ru-RU" w:eastAsia="ru-RU" w:bidi="ar-SA"/>
    </w:rPr>
  </w:style>
  <w:style w:type="paragraph" w:styleId="ConsPlusCell">
    <w:name w:val="ConsPlusCell"/>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DocList">
    <w:name w:val="ConsPlusDocList"/>
    <w:qFormat/>
    <w:pPr>
      <w:widowControl w:val="false"/>
      <w:bidi w:val="0"/>
      <w:jc w:val="left"/>
      <w:textAlignment w:val="auto"/>
    </w:pPr>
    <w:rPr>
      <w:rFonts w:ascii="Tahoma" w:hAnsi="Tahoma" w:eastAsia="Times New Roman" w:cs="Tahoma"/>
      <w:color w:val="auto"/>
      <w:kern w:val="2"/>
      <w:sz w:val="18"/>
      <w:szCs w:val="18"/>
      <w:lang w:val="ru-RU" w:eastAsia="ru-RU" w:bidi="ar-SA"/>
    </w:rPr>
  </w:style>
  <w:style w:type="paragraph" w:styleId="ConsPlusTitlePage">
    <w:name w:val="ConsPlusTitlePage"/>
    <w:qFormat/>
    <w:pPr>
      <w:widowControl w:val="false"/>
      <w:bidi w:val="0"/>
      <w:jc w:val="left"/>
      <w:textAlignment w:val="auto"/>
    </w:pPr>
    <w:rPr>
      <w:rFonts w:ascii="Tahoma" w:hAnsi="Tahoma" w:eastAsia="Times New Roman" w:cs="Tahoma"/>
      <w:color w:val="auto"/>
      <w:kern w:val="2"/>
      <w:sz w:val="24"/>
      <w:szCs w:val="24"/>
      <w:lang w:val="ru-RU" w:eastAsia="ru-RU" w:bidi="ar-SA"/>
    </w:rPr>
  </w:style>
  <w:style w:type="paragraph" w:styleId="ConsPlusJurTerm">
    <w:name w:val="ConsPlusJurTerm"/>
    <w:qFormat/>
    <w:pPr>
      <w:widowControl w:val="false"/>
      <w:bidi w:val="0"/>
      <w:jc w:val="left"/>
      <w:textAlignment w:val="auto"/>
    </w:pPr>
    <w:rPr>
      <w:rFonts w:ascii="Times New Roman" w:hAnsi="Times New Roman" w:eastAsia="Times New Roman" w:cs="Times New Roman"/>
      <w:color w:val="auto"/>
      <w:kern w:val="2"/>
      <w:sz w:val="24"/>
      <w:szCs w:val="24"/>
      <w:lang w:val="ru-RU" w:eastAsia="ru-RU" w:bidi="ar-SA"/>
    </w:rPr>
  </w:style>
  <w:style w:type="paragraph" w:styleId="ConsPlusTextList">
    <w:name w:val="ConsPlusTextList"/>
    <w:qFormat/>
    <w:pPr>
      <w:widowControl w:val="false"/>
      <w:bidi w:val="0"/>
      <w:jc w:val="left"/>
      <w:textAlignment w:val="auto"/>
    </w:pPr>
    <w:rPr>
      <w:rFonts w:ascii="Times New Roman" w:hAnsi="Times New Roman" w:eastAsia="Times New Roman" w:cs="Times New Roman"/>
      <w:color w:val="auto"/>
      <w:kern w:val="2"/>
      <w:sz w:val="24"/>
      <w:szCs w:val="24"/>
      <w:lang w:val="ru-RU" w:eastAsia="ru-RU" w:bidi="ar-SA"/>
    </w:rPr>
  </w:style>
  <w:style w:type="paragraph" w:styleId="ConsPlusTextList1">
    <w:name w:val="ConsPlusTextList1"/>
    <w:qFormat/>
    <w:pPr>
      <w:widowControl w:val="false"/>
      <w:bidi w:val="0"/>
      <w:jc w:val="left"/>
      <w:textAlignment w:val="auto"/>
    </w:pPr>
    <w:rPr>
      <w:rFonts w:ascii="Times New Roman" w:hAnsi="Times New Roman" w:eastAsia="Times New Roman" w:cs="Times New Roman"/>
      <w:color w:val="auto"/>
      <w:kern w:val="2"/>
      <w:sz w:val="24"/>
      <w:szCs w:val="24"/>
      <w:lang w:val="ru-RU" w:eastAsia="ru-RU" w:bidi="ar-SA"/>
    </w:rPr>
  </w:style>
  <w:style w:type="paragraph" w:styleId="HeaderandFooter">
    <w:name w:val="Header and Footer"/>
    <w:basedOn w:val="Normal"/>
    <w:qFormat/>
    <w:pPr/>
    <w:rPr/>
  </w:style>
  <w:style w:type="paragraph" w:styleId="Header">
    <w:name w:val="Header"/>
    <w:basedOn w:val="Normal"/>
    <w:pPr>
      <w:tabs>
        <w:tab w:val="clear" w:pos="720"/>
        <w:tab w:val="center" w:pos="4677" w:leader="none"/>
        <w:tab w:val="right" w:pos="9355" w:leader="none"/>
      </w:tabs>
    </w:pPr>
    <w:rPr/>
  </w:style>
  <w:style w:type="paragraph" w:styleId="Footer">
    <w:name w:val="Footer"/>
    <w:basedOn w:val="Normal"/>
    <w:pPr>
      <w:tabs>
        <w:tab w:val="clear" w:pos="720"/>
        <w:tab w:val="center" w:pos="4677" w:leader="none"/>
        <w:tab w:val="right" w:pos="9355"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31969&amp;date=31.01.2023&amp;dst=100743&amp;field=134" TargetMode="External"/><Relationship Id="rId3" Type="http://schemas.openxmlformats.org/officeDocument/2006/relationships/hyperlink" Target="https://login.consultant.ru/link/?req=doc&amp;base=LAW&amp;n=426875&amp;date=31.01.2023&amp;dst=100018&amp;field=134" TargetMode="External"/><Relationship Id="rId4" Type="http://schemas.openxmlformats.org/officeDocument/2006/relationships/hyperlink" Target="https://login.consultant.ru/link/?req=doc&amp;base=LAW&amp;n=431969&amp;date=31.01.2023" TargetMode="External"/><Relationship Id="rId5" Type="http://schemas.openxmlformats.org/officeDocument/2006/relationships/hyperlink" Target="https://login.consultant.ru/link/?req=doc&amp;base=LAW&amp;n=426875&amp;date=31.01.2023&amp;dst=100133&amp;field=134" TargetMode="External"/><Relationship Id="rId6" Type="http://schemas.openxmlformats.org/officeDocument/2006/relationships/hyperlink" Target="https://login.consultant.ru/link/?req=doc&amp;base=LAW&amp;n=428211&amp;date=31.01.2023&amp;dst=100009&amp;field=134" TargetMode="External"/><Relationship Id="rId7" Type="http://schemas.openxmlformats.org/officeDocument/2006/relationships/image" Target="media/image1.wmf"/><Relationship Id="rId8" Type="http://schemas.openxmlformats.org/officeDocument/2006/relationships/image" Target="media/image2.wmf"/><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Pages>99</Pages>
  <Words>2369</Words>
  <Characters>15842</Characters>
  <CharactersWithSpaces>13504</CharactersWithSpaces>
  <Company>КонсультантПлюс Версия 4022.00.09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2023-01-31T11:25:00Z</dcterms:created>
  <dc:creator/>
  <dc:description/>
  <dc:language>en-US</dc:language>
  <cp:lastModifiedBy/>
  <dcterms:modified xsi:type="dcterms:W3CDTF">2023-01-31T11:26:00Z</dcterms:modified>
  <cp:revision>2</cp:revision>
  <dc:subject/>
  <dc:title>Постановление Правительства Новгородской области от 31.10.2022 N 584"Об утверждении Порядка оценки инвестиционного проекта, в отношении которого планируется заключение соглашения о защите и поощрении капиталовложений, на предмет эффективного использования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Сташук Галина Николаевна</vt:lpwstr>
  </property>
</Properties>
</file>