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ПРАВИТЕЛЬСТВО НОВГОРОДСКОЙ ОБЛАСТИ</w:t>
      </w:r>
    </w:p>
    <w:p>
      <w:pPr>
        <w:pStyle w:val="ConsPlusTitle"/>
        <w:bidi w:val="0"/>
        <w:ind w:left="0" w:right="0" w:hanging="0"/>
        <w:jc w:val="center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РАСПОРЯЖЕНИЕ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16 июля 2019 г. № 203-рг</w:t>
      </w:r>
    </w:p>
    <w:p>
      <w:pPr>
        <w:pStyle w:val="ConsPlusTitle"/>
        <w:bidi w:val="0"/>
        <w:ind w:left="0" w:right="0" w:hanging="0"/>
        <w:jc w:val="center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УТВЕРЖДЕНИИ ПРИМЕРНОЙ ФОРМЫ БИЗНЕС-ПЛАНА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ИНВЕСТИЦИОННОГО ПРОЕКТА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от 28.02.2020 N 52-рг)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областным </w:t>
      </w:r>
      <w:hyperlink r:id="rId3">
        <w:r>
          <w:rPr>
            <w:color w:val="0000FF"/>
          </w:rPr>
          <w:t>законом</w:t>
        </w:r>
      </w:hyperlink>
      <w:r>
        <w:rPr/>
        <w:t xml:space="preserve"> от 28.03.2016 N 945-ОЗ "Об инвестиционной деятельности в Новгородской области и защите прав инвесторов":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1. Утвердить прилагаемую примерную </w:t>
      </w:r>
      <w:hyperlink w:anchor="Par33" w:tgtFrame="ПРИМЕРНАЯ ФОРМА">
        <w:r>
          <w:rPr>
            <w:color w:val="0000FF"/>
          </w:rPr>
          <w:t>форму</w:t>
        </w:r>
      </w:hyperlink>
      <w:r>
        <w:rPr/>
        <w:t xml:space="preserve"> бизнес-плана инвестиционного проекта.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2. Разместить распоряжение на "Официальном интернет-портале правовой информации" (www.pravo.gov.ru).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Губернатор Новгородской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А.С.НИКИТИН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/>
        <w:t>Утверждена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распоряжением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Правительства Новгородской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16.07.2019 N 203-рг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от 28.02.2020 N 52-рг)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bookmarkStart w:id="0" w:name="Par33"/>
      <w:bookmarkEnd w:id="0"/>
      <w:r>
        <w:rPr/>
        <w:t>ПРИМЕРНАЯ ФОРМА</w:t>
      </w:r>
    </w:p>
    <w:p>
      <w:pPr>
        <w:pStyle w:val="ConsPlusNormal"/>
        <w:bidi w:val="0"/>
        <w:ind w:left="0" w:right="0" w:hanging="0"/>
        <w:jc w:val="center"/>
        <w:rPr/>
      </w:pPr>
      <w:r>
        <w:rPr/>
        <w:t>БИЗНЕС-ПЛАНА ИНВЕСТИЦИОННОГО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1. Резюме инвестиционного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1.1. Наименование инвестиционного проекта (далее проект).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1.2. Краткая информация об инициаторе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1.3. Краткое описание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1.4. Юридический адрес, фактический адрес инициатора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1.5. Стоимость проекта без учета налога на добавленную стоимость.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1.6. Структура инвестиций.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1 - Структура инвестиций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43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3799"/>
        <w:gridCol w:w="1276"/>
      </w:tblGrid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Сумма инвестиций без налога на добавленную стоимость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Источник инвестиций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Доля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1.7. Подтверждение источников финансирования.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1.8. Информация о предоставлении привлеченных средств (при наличии), содержащая информацию о наименовании кредитора, объемах кредитования, сроках кредитования, валюте кредита, процентной ставке по кредиту.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2 - График получения и возврата кредитов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3401"/>
        <w:gridCol w:w="3289"/>
      </w:tblGrid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Период (год)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Привлечение заемных средств (тыс. руб.)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Возврат заемных средств (тыс. руб.)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2. Сведения об инициаторе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2.1. Реквизиты организации, реализующей проект.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2.2. Информация о филиалах, дочерних организациях (при наличии).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2.3. Сведения об учредителях и их доле в капитале организации.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2.4. Сведения об основных видах деятельности инициатора проекта.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3. Описание продукции, реализуемой в рамках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3.1. Наименование продукции, реализуемой в рамках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3.2. Краткое описание и основные характеристики продукции, реализуемой в рамках проекта, необходимость ее лицензирования.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4. Маркетинговый план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4.1. Анализ рынка (размер, существенные изменения, перспективы развития, принципы ценообразования).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4.2. Потенциальные потребители продукции, реализуемой в рамках проекта.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4.3. Описание конкуренции на рынке.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5. Производственный план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5.1. Местоположение площадки, на территории которой реализуется (планируется к реализации) проект (требования к наличию инженерной инфраструктуры, транспортных связей, близость к рынку сбыта, потребность в площадях и производственных помещениях).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5.2. Технологический процесс.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5.3. Влияние на окружающую среду, экологическая экспертиза (при необходимости), безопасность технологических процессов.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5.4. Информация по кадровому обеспечению проекта, включающая информацию о создании новых рабочих мест.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3 - Сведения по кадровому обеспечению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43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14"/>
        <w:gridCol w:w="1913"/>
        <w:gridCol w:w="2154"/>
        <w:gridCol w:w="1587"/>
        <w:gridCol w:w="1475"/>
      </w:tblGrid>
      <w:tr>
        <w:trPr/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по категории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Численность персонала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Фонд оплаты труда (руб./чел. в месяц)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Фонд оплаты труда (руб.)</w:t>
            </w:r>
          </w:p>
        </w:tc>
      </w:tr>
      <w:tr>
        <w:trPr/>
        <w:tc>
          <w:tcPr>
            <w:tcW w:w="1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2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 месяц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 год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ИТОГО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5.5. Планируемый объем производства продукции, график выхода на полную мощность.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bookmarkStart w:id="1" w:name="Par123"/>
      <w:bookmarkEnd w:id="1"/>
      <w:r>
        <w:rPr/>
        <w:t>Таблица 4 - Объем производства продукции по годам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39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0"/>
        <w:gridCol w:w="1672"/>
        <w:gridCol w:w="1984"/>
        <w:gridCol w:w="3402"/>
      </w:tblGrid>
      <w:tr>
        <w:trPr/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продукции (по группам)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 от объема производства на полную мощность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ИТОГО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6. Организационный план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5 - План-график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2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2041"/>
        <w:gridCol w:w="2268"/>
        <w:gridCol w:w="1927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этапа проекта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Период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Результат этапа проекта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6.1. Партнеры по реализации проекта с кратким описанием (при наличии).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bookmarkStart w:id="2" w:name="Par162"/>
      <w:bookmarkEnd w:id="2"/>
      <w:r>
        <w:rPr/>
        <w:t>7. Финансовый план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7.1. График капитальных вложений.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6 - График инвестиций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54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36"/>
        <w:gridCol w:w="2338"/>
        <w:gridCol w:w="2042"/>
        <w:gridCol w:w="2337"/>
      </w:tblGrid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инвестиций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Стоимость инвестиций без налога на добавленную стоимость (тыс. руб.)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Налог на добавленную стоимость (тыс. руб.) &lt;*&gt;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ввода в эксплуатацию основных средств, месяц, год (факт/план)</w:t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Здания и сооружения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...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Оборудование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...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Прочие инвестиции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...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Нематериальные активы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...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&lt;*&gt; Справочно.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7.2. Расчет доли нематериальных активов в общей стоимости инвестиций (при наличии).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7 - Доля нематериальных активов в общей стоимости инвестиций (%)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2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5"/>
        <w:gridCol w:w="1872"/>
        <w:gridCol w:w="2155"/>
      </w:tblGrid>
      <w:tr>
        <w:trPr/>
        <w:tc>
          <w:tcPr>
            <w:tcW w:w="5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инвестиций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50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руб.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Всего инвестиций, в том числе: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нематериальные активы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7.3. Расчет амортизации.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8 - Расчет амортизации</w:t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1355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3"/>
        <w:gridCol w:w="1362"/>
        <w:gridCol w:w="1416"/>
        <w:gridCol w:w="1305"/>
        <w:gridCol w:w="1133"/>
        <w:gridCol w:w="1305"/>
        <w:gridCol w:w="1360"/>
        <w:gridCol w:w="1304"/>
        <w:gridCol w:w="1362"/>
        <w:gridCol w:w="1359"/>
      </w:tblGrid>
      <w:tr>
        <w:trPr/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Перечень основных средств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ввода в эксплуатацию основных средств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Первоначальная стоимость основных средств (тыс. руб.)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Амортизационная группа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Норма амортизации (% в месяц)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Норма амортизации (тыс. руб. в месяц)</w:t>
            </w:r>
          </w:p>
        </w:tc>
        <w:tc>
          <w:tcPr>
            <w:tcW w:w="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балансовая стоимость на начало года (тыс. руб.)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начисленная амортизация (тыс. руб.)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балансовая стоимость на конец года (тыс. руб.)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среднегодовая стоимость имущества (тыс. руб.)</w:t>
            </w:r>
          </w:p>
        </w:tc>
      </w:tr>
      <w:tr>
        <w:trPr/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ИТОГО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rmal"/>
        <w:widowControl w:val="false"/>
        <w:bidi w:val="0"/>
        <w:ind w:left="0" w:right="0" w:hanging="0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7.4.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земельных участков (при наличии).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9 -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земельных участков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36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68"/>
        <w:gridCol w:w="1167"/>
        <w:gridCol w:w="1169"/>
        <w:gridCol w:w="1169"/>
        <w:gridCol w:w="1076"/>
        <w:gridCol w:w="1189"/>
        <w:gridCol w:w="1077"/>
        <w:gridCol w:w="1020"/>
      </w:tblGrid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земельного участка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постановки земельного участка на налоговый учет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Кадастровая стоимость земельного участка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Наличие налоговой льготы (да/нет)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Код налоговой льготы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налоговой льготы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Льготная ставка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Сумма льготы</w:t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7.5.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транспортных средств (при наличии).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10 - Информация о наличии в собственности инициатора проекта, претендующего на одобрение проекта Правительством Новгородской области с целью предоставления налоговых льгот, транспортных средств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30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8"/>
        <w:gridCol w:w="949"/>
        <w:gridCol w:w="1040"/>
        <w:gridCol w:w="1038"/>
        <w:gridCol w:w="1039"/>
        <w:gridCol w:w="1040"/>
        <w:gridCol w:w="1038"/>
        <w:gridCol w:w="851"/>
        <w:gridCol w:w="906"/>
      </w:tblGrid>
      <w:tr>
        <w:trPr/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транспортных средств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Дата постановки на налоговый учет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Тип транспортного средства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Мощность двигателя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Наличие налоговой льготы (да/нет)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Код налоговой льготы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налоговой льготы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Льготная ставка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Сумма льготы</w:t>
            </w:r>
          </w:p>
        </w:tc>
      </w:tr>
      <w:tr>
        <w:trPr/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7.6. Расчет стоимости сырья, материалов, комплектующих для производства продукции (при наличии).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7.7. Расчет стоимости тары, упаковки (при наличии).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7.8. Расчет стоимости затрат на электроснабжение, водоснабжение, водоотведение, газоснабжение.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7.9. Расчет себестоимости единицы продукции.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7.10. Расчет выручки.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7.11. Расчет доли выручки от проекта в общем объеме выручки организации, реализующей проект.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11 - Расчет доли выручки от проекта в общем объеме выручки организации, реализующей проект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67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66"/>
        <w:gridCol w:w="1700"/>
      </w:tblGrid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Выручка по организации всего (тыс. 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Выручка от реализации продукции проекта (тыс. 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Доля в общем объеме выручки по организации в целом (%)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7.12. Информация о доходах и расходах проекта.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bookmarkStart w:id="3" w:name="Par380"/>
      <w:bookmarkEnd w:id="3"/>
      <w:r>
        <w:rPr/>
        <w:t>Таблица 12 - Бюджет доходов и расходов (без учета налога на добавленную стоимость)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66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03"/>
        <w:gridCol w:w="1757"/>
        <w:gridCol w:w="1106"/>
      </w:tblGrid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статей доходов и расходов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Доходы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Доходы от реализации продукции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Внереализационные доходы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Расходы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Прямые производственные расходы, в том числе: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сырье, материалы, комплектующие, тара, упаковка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транспортные расходы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затраты на электроснабжение, водоснабжение, водоотведение, 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фонд оплаты труда основного производственного персонала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другое (при наличии)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Общепроизводственные расходы, в том числе: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фонд оплаты труда вспомогательного персонала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другое (при наличии)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Общехозяйственные расходы, в том числе: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страховые взносы на обязательное социальное страхование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налог на имущество организаций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земельный налог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арендная плата за землю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транспортный налог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прочие налоги и сборы (с расшифровкой)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фонд оплаты труда административно-управленческого персонала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rPr/>
            </w:pPr>
            <w:r>
              <w:rPr/>
              <w:t>другое (с расшифровкой)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Внереализационные расходы (с расшифровкой)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Финансовый результат от текущей деятельности (по налоговому учету)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Амортизация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Финансовый результат с учетом амортизации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% по кредиту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Финансовый результат до налогообложения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Налог на прибыль организаций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Прибыль (убыток) после налогообложения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Капитальные вложения - амортизация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7.13. Расчет бюджетного эффекта, выпадающих доходов в консолидированный бюджет Новгородской области от реализации проекта.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13 - Бюджетный эффект от реализации проекта без учета налоговых льгот (тыс. руб.)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39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49"/>
        <w:gridCol w:w="1984"/>
        <w:gridCol w:w="1106"/>
      </w:tblGrid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налогов и сборов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Налоговая ставка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3"/>
              <w:rPr/>
            </w:pPr>
            <w:r>
              <w:rPr/>
              <w:t>Доходы бюджетов</w:t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Федеральный бюджет (справочно)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Налог на добавленную стоимость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170" w:right="0" w:hanging="0"/>
              <w:jc w:val="both"/>
              <w:rPr/>
            </w:pPr>
            <w:r>
              <w:rPr/>
              <w:t>Прочие налоги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3"/>
              <w:rPr/>
            </w:pPr>
            <w:r>
              <w:rPr/>
              <w:t>Доходы внебюджетных фондов</w:t>
            </w:r>
          </w:p>
        </w:tc>
      </w:tr>
      <w:tr>
        <w:trPr/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Страховые взносы с фонда оплаты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bookmarkStart w:id="4" w:name="Par531"/>
      <w:bookmarkEnd w:id="4"/>
      <w:r>
        <w:rPr/>
        <w:t>Таблица 14 - Налоговые льготы (тыс. руб.) &lt;*&gt;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67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48"/>
        <w:gridCol w:w="1984"/>
        <w:gridCol w:w="1135"/>
      </w:tblGrid>
      <w:tr>
        <w:trPr/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налоговых льгот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Итого</w:t>
            </w:r>
          </w:p>
        </w:tc>
      </w:tr>
      <w:tr>
        <w:trPr/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&lt;*&gt; Таблица заполняется за период предоставления налоговых льгот.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15. - Расчет бюджетного эффекта от реализации проекта с учетом налоговых льгот (тыс. руб.)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57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4"/>
        <w:gridCol w:w="1382"/>
        <w:gridCol w:w="1382"/>
        <w:gridCol w:w="1248"/>
        <w:gridCol w:w="1191"/>
      </w:tblGrid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налогов и сборов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+ 1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+ ...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Итого</w:t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Налог на прибыль организаций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Налог на имущество организаций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Транспортный налог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Земельный налог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Страховые взносы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Прочие налоги и платежи (с расшифровкой)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7.14. Расчет показателей эффективности проекта.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r>
        <w:rPr/>
        <w:t>Таблица 16 - Расчет показателей эффективности проекта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7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9"/>
        <w:gridCol w:w="7428"/>
        <w:gridCol w:w="1134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Показатель эффективности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bookmarkStart w:id="5" w:name="Par610"/>
            <w:bookmarkEnd w:id="5"/>
            <w:r>
              <w:rPr/>
              <w:t>1.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Прибыль (убыток) после налогообложения (по проекту)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6" w:name="Par613"/>
            <w:bookmarkEnd w:id="6"/>
            <w:r>
              <w:rPr/>
              <w:t>2.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Капитальные вложения - амортизация (по проекту по годам)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7" w:name="Par616"/>
            <w:bookmarkEnd w:id="7"/>
            <w:r>
              <w:rPr/>
              <w:t>3.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Чистый денежный поток (</w:t>
            </w:r>
            <w:hyperlink w:anchor="Par610" w:tgtFrame="1.">
              <w:r>
                <w:rPr>
                  <w:color w:val="0000FF"/>
                </w:rPr>
                <w:t>стр. 1</w:t>
              </w:r>
            </w:hyperlink>
            <w:r>
              <w:rPr/>
              <w:t xml:space="preserve"> - </w:t>
            </w:r>
            <w:hyperlink w:anchor="Par613" w:tgtFrame="2.">
              <w:r>
                <w:rPr>
                  <w:color w:val="0000FF"/>
                </w:rPr>
                <w:t>стр. 2</w:t>
              </w:r>
            </w:hyperlink>
            <w:r>
              <w:rPr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4.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Чистый денежный поток нарастающим итогом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5.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Ставка дисконтирования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8" w:name="Par625"/>
            <w:bookmarkEnd w:id="8"/>
            <w:r>
              <w:rPr/>
              <w:t>6.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Коэффициент дисконтирования &lt;*&gt;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7.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Дисконтированный чистый денежный поток (</w:t>
            </w:r>
            <w:hyperlink w:anchor="Par616" w:tgtFrame="3.">
              <w:r>
                <w:rPr>
                  <w:color w:val="0000FF"/>
                </w:rPr>
                <w:t>стр. 3</w:t>
              </w:r>
            </w:hyperlink>
            <w:r>
              <w:rPr/>
              <w:t xml:space="preserve"> x </w:t>
            </w:r>
            <w:hyperlink w:anchor="Par625" w:tgtFrame="6.">
              <w:r>
                <w:rPr>
                  <w:color w:val="0000FF"/>
                </w:rPr>
                <w:t>стр. 6</w:t>
              </w:r>
            </w:hyperlink>
            <w:r>
              <w:rPr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8.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Дисконтированный чистый денежный поток нарастающим итогом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9.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Чистый дисконтированный доход (NPV)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10.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Внутренняя норма доходности (IRR)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11.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Дисконтированный срок окупаемости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12.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Дисконтированный денежный поток от операционной деятельности (</w:t>
            </w:r>
            <w:hyperlink w:anchor="Par610" w:tgtFrame="1.">
              <w:r>
                <w:rPr>
                  <w:color w:val="0000FF"/>
                </w:rPr>
                <w:t>стр. 1</w:t>
              </w:r>
            </w:hyperlink>
            <w:r>
              <w:rPr/>
              <w:t xml:space="preserve"> x </w:t>
            </w:r>
            <w:hyperlink w:anchor="Par625" w:tgtFrame="6.">
              <w:r>
                <w:rPr>
                  <w:color w:val="0000FF"/>
                </w:rPr>
                <w:t>стр. 6</w:t>
              </w:r>
            </w:hyperlink>
            <w:r>
              <w:rPr/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13.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Рентабельность инвестиций &lt;**&gt;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&lt;*&gt; </w:t>
      </w:r>
      <w:r>
        <w:rPr/>
        <w:drawing>
          <wp:inline distT="0" distB="0" distL="0" distR="0">
            <wp:extent cx="3703320" cy="50292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r - ставка дисконтирования;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n - номер периода дисконтирования.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&lt;**&gt; </w:t>
      </w:r>
      <w:r>
        <w:rPr/>
        <w:drawing>
          <wp:inline distT="0" distB="0" distL="0" distR="0">
            <wp:extent cx="3017520" cy="47561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A - сумма значений дисконтированного денежного потока от операционной деятельности за весь период реализации проекта;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I - недисконтированная величина инвестиций за весь период реализации проекта.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/>
        <w:t>8. Анализ рисков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Выводы (о бюджетной эффективности проекта, экономической эффективности проекта, социальной эффективности проекта, прочей эффективности проекта).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1"/>
        <w:rPr/>
      </w:pPr>
      <w:r>
        <w:rPr/>
        <w:t>Приложение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примерной форме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бизнес-плана инвестиционного проекта</w:t>
      </w:r>
    </w:p>
    <w:p>
      <w:pPr>
        <w:pStyle w:val="ConsPlusNormal"/>
        <w:bidi w:val="0"/>
        <w:ind w:left="0" w:right="0" w:hanging="0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от 28.02.2020 N 52-рг)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bookmarkStart w:id="9" w:name="Par673"/>
      <w:bookmarkEnd w:id="9"/>
      <w:r>
        <w:rPr/>
        <w:t>Таблица 1 - Расчет срока окупаемости проекта без учета налоговых льгот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46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5"/>
        <w:gridCol w:w="7540"/>
        <w:gridCol w:w="1021"/>
      </w:tblGrid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Прибыль (убыток) после налогообложения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10" w:name="Par681"/>
            <w:bookmarkEnd w:id="10"/>
            <w:r>
              <w:rPr/>
              <w:t>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Прибыль (убыток) после налогообложения нарастающим итогом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Капитальные вложения - амортизация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11" w:name="Par687"/>
            <w:bookmarkEnd w:id="11"/>
            <w:r>
              <w:rPr/>
              <w:t>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Капитальные вложения - амортизация нарастающим итогом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Сальдо строк (</w:t>
            </w:r>
            <w:hyperlink w:anchor="Par681" w:tgtFrame="2.">
              <w:r>
                <w:rPr>
                  <w:color w:val="0000FF"/>
                </w:rPr>
                <w:t>стр. 2</w:t>
              </w:r>
            </w:hyperlink>
            <w:r>
              <w:rPr/>
              <w:t xml:space="preserve"> - </w:t>
            </w:r>
            <w:hyperlink w:anchor="Par687" w:tgtFrame="4.">
              <w:r>
                <w:rPr>
                  <w:color w:val="0000FF"/>
                </w:rPr>
                <w:t>стр. 4</w:t>
              </w:r>
            </w:hyperlink>
            <w:r>
              <w:rPr/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right="0" w:firstLine="540"/>
        <w:jc w:val="both"/>
        <w:outlineLvl w:val="2"/>
        <w:rPr/>
      </w:pPr>
      <w:bookmarkStart w:id="12" w:name="Par694"/>
      <w:bookmarkEnd w:id="12"/>
      <w:r>
        <w:rPr/>
        <w:t>Таблица 2 - Расчет срока окупаемости проекта с учетом налоговых льгот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tbl>
      <w:tblPr>
        <w:tblW w:w="9046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5"/>
        <w:gridCol w:w="7540"/>
        <w:gridCol w:w="1021"/>
      </w:tblGrid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1.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Прибыль (убыток) после налогообложения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13" w:name="Par702"/>
            <w:bookmarkEnd w:id="13"/>
            <w:r>
              <w:rPr/>
              <w:t>2.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Прибыль (убыток) после налогообложения нарастающим итогом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3.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Капитальные вложения - амортизация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bookmarkStart w:id="14" w:name="Par708"/>
            <w:bookmarkEnd w:id="14"/>
            <w:r>
              <w:rPr/>
              <w:t>4.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Капитальные вложения - амортизация нарастающим итогом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jc w:val="both"/>
              <w:rPr/>
            </w:pPr>
            <w:r>
              <w:rPr/>
              <w:t>Сальдо строк (</w:t>
            </w:r>
            <w:hyperlink w:anchor="Par702" w:tgtFrame="2.">
              <w:r>
                <w:rPr>
                  <w:color w:val="0000FF"/>
                </w:rPr>
                <w:t>стр. 2</w:t>
              </w:r>
            </w:hyperlink>
            <w:r>
              <w:rPr/>
              <w:t xml:space="preserve"> - </w:t>
            </w:r>
            <w:hyperlink w:anchor="Par708" w:tgtFrame="4.">
              <w:r>
                <w:rPr>
                  <w:color w:val="0000FF"/>
                </w:rPr>
                <w:t>стр. 4</w:t>
              </w:r>
            </w:hyperlink>
            <w:r>
              <w:rPr/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bidi w:val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Примечание: 1. Информация, указанная в </w:t>
      </w:r>
      <w:hyperlink w:anchor="Par162" w:tgtFrame="7. Финансовый план">
        <w:r>
          <w:rPr>
            <w:color w:val="0000FF"/>
          </w:rPr>
          <w:t>пункте 7</w:t>
        </w:r>
      </w:hyperlink>
      <w:r>
        <w:rPr/>
        <w:t xml:space="preserve"> настоящей примерной формы бизнес-плана инвестиционного проекта, при представлении в электронной форме оформляется в формате xls, xlsx (или формате более поздней версии программы Excel).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2. </w:t>
      </w:r>
      <w:hyperlink w:anchor="Par123" w:tgtFrame="Таблица 4 - Объем производства продукции по годам">
        <w:r>
          <w:rPr>
            <w:color w:val="0000FF"/>
          </w:rPr>
          <w:t>Таблицы 4</w:t>
        </w:r>
      </w:hyperlink>
      <w:r>
        <w:rPr/>
        <w:t xml:space="preserve">, </w:t>
      </w:r>
      <w:hyperlink w:anchor="Par380" w:tgtFrame="Таблица 12 - Бюджет доходов и расходов (без учета налога на добавленную стоимость)">
        <w:r>
          <w:rPr>
            <w:color w:val="0000FF"/>
          </w:rPr>
          <w:t>12</w:t>
        </w:r>
      </w:hyperlink>
      <w:r>
        <w:rPr/>
        <w:t xml:space="preserve"> - </w:t>
      </w:r>
      <w:hyperlink w:anchor="Par531" w:tgtFrame="Таблица 14 - Налоговые льготы (тыс. руб.) &lt;*&gt;">
        <w:r>
          <w:rPr>
            <w:color w:val="0000FF"/>
          </w:rPr>
          <w:t>16</w:t>
        </w:r>
      </w:hyperlink>
      <w:r>
        <w:rPr/>
        <w:t xml:space="preserve"> примерной формы бизнес-плана инвестиционного проекта, </w:t>
      </w:r>
      <w:hyperlink w:anchor="Par673" w:tgtFrame="Таблица 1 - Расчет срока окупаемости проекта без учета налоговых льгот">
        <w:r>
          <w:rPr>
            <w:color w:val="0000FF"/>
          </w:rPr>
          <w:t>таблицы 1</w:t>
        </w:r>
      </w:hyperlink>
      <w:r>
        <w:rPr/>
        <w:t xml:space="preserve">, </w:t>
      </w:r>
      <w:hyperlink w:anchor="Par694" w:tgtFrame="Таблица 2 - Расчет срока окупаемости проекта с учетом налоговых льгот">
        <w:r>
          <w:rPr>
            <w:color w:val="0000FF"/>
          </w:rPr>
          <w:t>2</w:t>
        </w:r>
      </w:hyperlink>
      <w:r>
        <w:rPr/>
        <w:t xml:space="preserve"> приложения к примерной форме бизнес-плана инвестиционного проекта заполняются за период, который соответствует двум условиям: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расчет должен включать период до наступления срока окупаемости, в том числе дисконтируемого срока окупаемости, а также один год после его наступления;</w:t>
      </w:r>
    </w:p>
    <w:p>
      <w:pPr>
        <w:pStyle w:val="ConsPlusNormal"/>
        <w:bidi w:val="0"/>
        <w:spacing w:before="240" w:after="160"/>
        <w:ind w:left="0" w:right="0" w:firstLine="540"/>
        <w:jc w:val="both"/>
        <w:rPr/>
      </w:pPr>
      <w:r>
        <w:rPr/>
        <w:t>расчет должен включать период предоставления налоговых льгот, а также один год после завершения периода предоставления налоговых льгот.</w:t>
      </w:r>
    </w:p>
    <w:p>
      <w:pPr>
        <w:pStyle w:val="ConsPlusNormal"/>
        <w:bidi w:val="0"/>
        <w:ind w:left="0" w:right="0" w:hanging="0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rPr/>
        <w:t xml:space="preserve"> Правительства Новгородской области от 28.02.2020 N 52-рг)</w:t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17"/>
      <w:footerReference w:type="default" r:id="rId18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lineRule="auto" w:line="256" w:before="0" w:after="160"/>
      <w:ind w:left="0" w:right="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56" w:before="0" w:after="160"/>
      <w:ind w:left="0" w:right="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4"/>
      <w:szCs w:val="24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54&amp;n=87858&amp;date=31.01.2023&amp;dst=100004&amp;field=134" TargetMode="External"/><Relationship Id="rId3" Type="http://schemas.openxmlformats.org/officeDocument/2006/relationships/hyperlink" Target="https://login.consultant.ru/link/?req=doc&amp;base=RLAW154&amp;n=102910&amp;date=31.01.2023&amp;dst=100315&amp;field=134" TargetMode="External"/><Relationship Id="rId4" Type="http://schemas.openxmlformats.org/officeDocument/2006/relationships/hyperlink" Target="https://login.consultant.ru/link/?req=doc&amp;base=RLAW154&amp;n=87858&amp;date=31.01.2023&amp;dst=100004&amp;field=134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wmf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RLAW154&amp;n=87858&amp;date=31.01.2023&amp;dst=100020&amp;field=134" TargetMode="External"/><Relationship Id="rId16" Type="http://schemas.openxmlformats.org/officeDocument/2006/relationships/hyperlink" Target="https://login.consultant.ru/link/?req=doc&amp;base=RLAW154&amp;n=87858&amp;date=31.01.2023&amp;dst=100048&amp;field=134" TargetMode="Externa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2101</Words>
  <Characters>14055</Characters>
  <CharactersWithSpaces>11982</CharactersWithSpaces>
  <Company>КонсультантПлюс Версия 4022.00.09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2023-01-31T11:15:00Z</dcterms:created>
  <dc:creator/>
  <dc:description/>
  <dc:language>en-US</dc:language>
  <cp:lastModifiedBy/>
  <dcterms:modified xsi:type="dcterms:W3CDTF">2023-01-31T11:18:00Z</dcterms:modified>
  <cp:revision>2</cp:revision>
  <dc:subject/>
  <dc:title>Распоряжение Правительства Новгородской области от 16.07.2019 N 203-рг(ред. от 28.02.2020)"Об утверждении примерной формы бизнес-плана инвестиционного проекта"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Сташук Галина Николаевна</vt:lpwstr>
  </property>
</Properties>
</file>