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79" w:rsidRDefault="00BF7E7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7E79" w:rsidRDefault="00BF7E79">
      <w:pPr>
        <w:pStyle w:val="ConsPlusNormal"/>
        <w:jc w:val="both"/>
        <w:outlineLvl w:val="0"/>
      </w:pPr>
    </w:p>
    <w:p w:rsidR="00BF7E79" w:rsidRDefault="00BF7E79">
      <w:pPr>
        <w:pStyle w:val="ConsPlusNormal"/>
        <w:jc w:val="right"/>
      </w:pPr>
      <w:r>
        <w:t>Утверждаю</w:t>
      </w:r>
    </w:p>
    <w:p w:rsidR="00BF7E79" w:rsidRDefault="00BF7E79">
      <w:pPr>
        <w:pStyle w:val="ConsPlusNormal"/>
        <w:jc w:val="right"/>
      </w:pPr>
      <w:r>
        <w:t>Председатель Государственного</w:t>
      </w:r>
    </w:p>
    <w:p w:rsidR="00BF7E79" w:rsidRDefault="00BF7E79">
      <w:pPr>
        <w:pStyle w:val="ConsPlusNormal"/>
        <w:jc w:val="right"/>
      </w:pPr>
      <w:r>
        <w:t>антинаркотического комитета</w:t>
      </w:r>
    </w:p>
    <w:p w:rsidR="00BF7E79" w:rsidRDefault="00BF7E79">
      <w:pPr>
        <w:pStyle w:val="ConsPlusNormal"/>
        <w:jc w:val="right"/>
      </w:pPr>
      <w:r>
        <w:t>В.А.КОЛОКОЛЬЦЕВ</w:t>
      </w:r>
    </w:p>
    <w:p w:rsidR="00BF7E79" w:rsidRDefault="00BF7E79">
      <w:pPr>
        <w:pStyle w:val="ConsPlusNormal"/>
        <w:jc w:val="right"/>
      </w:pPr>
      <w:r>
        <w:t>от 09.12.2016 N 8/6-5863</w:t>
      </w:r>
    </w:p>
    <w:p w:rsidR="00BF7E79" w:rsidRDefault="00BF7E79">
      <w:pPr>
        <w:pStyle w:val="ConsPlusNormal"/>
        <w:jc w:val="both"/>
      </w:pPr>
    </w:p>
    <w:p w:rsidR="00BF7E79" w:rsidRDefault="00BF7E79">
      <w:pPr>
        <w:pStyle w:val="ConsPlusTitle"/>
        <w:jc w:val="center"/>
      </w:pPr>
      <w:r>
        <w:t>РЕГЛАМЕНТ</w:t>
      </w:r>
    </w:p>
    <w:p w:rsidR="00BF7E79" w:rsidRDefault="00BF7E79">
      <w:pPr>
        <w:pStyle w:val="ConsPlusTitle"/>
        <w:jc w:val="center"/>
      </w:pPr>
      <w:r>
        <w:t>АНТИНАРКОТИЧЕСКОЙ КОМИССИИ В СУБЪЕКТЕ РОССИЙСКОЙ ФЕДЕРАЦИИ</w:t>
      </w:r>
    </w:p>
    <w:p w:rsidR="00BF7E79" w:rsidRDefault="00BF7E79">
      <w:pPr>
        <w:pStyle w:val="ConsPlusNormal"/>
        <w:jc w:val="both"/>
      </w:pPr>
    </w:p>
    <w:p w:rsidR="00BF7E79" w:rsidRDefault="00BF7E79">
      <w:pPr>
        <w:pStyle w:val="ConsPlusTitle"/>
        <w:jc w:val="center"/>
        <w:outlineLvl w:val="0"/>
      </w:pPr>
      <w:r>
        <w:t>I. Общие положения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 xml:space="preserve">1. Настоящий Регламент разработан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и устанавливает общие правила организации деятельности антинаркотической комиссии в субъекте Российской Федерации &lt;1&gt; по реализации ее полномочий, закрепленных в </w:t>
      </w:r>
      <w:hyperlink r:id="rId6">
        <w:r>
          <w:rPr>
            <w:color w:val="0000FF"/>
          </w:rPr>
          <w:t>Положении</w:t>
        </w:r>
      </w:hyperlink>
      <w:r>
        <w:t xml:space="preserve"> об антинаркотической комиссии в субъекте Российской Федерации &lt;2&gt;.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&lt;1&gt; Далее - "Комиссия".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&lt;2&gt; Далее - "Положение".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II. Полномочия председателя и членов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2.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Председатель Комиссии представляет Комиссию по вопросам, отнесенным к ее компетенции.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Председатель Комиссии по итогам года не позднее первого квартала года, следующего за отчетным, информирует председателя Государственного антинаркотического комитета &lt;3&gt; о результатах деятельности Комиссии, о результатах проведения мониторинга наркоситуации в субъекте Российской Федерации, а также подготавливает предложения по улучшению наркоситуации в субъекте Российской Федерации.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&lt;3&gt; Далее - "Комитет".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3. 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а также общественными объединениями и организациями.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4. Члены Комиссии имеют право: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знакомиться с документами и материалами Комиссии, непосредственно касающимися деятельности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голосовать на заседаниях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lastRenderedPageBreak/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излагать в случае несогласия с решением Комиссии в письменной форме особое мнение.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Члены Комиссии обладают равными правами при подготовке и обсуждении рассматриваемых на заседании вопросов.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5. Члены Комиссии обязаны: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присутствовать на заседаниях Комиссии.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организовывать в рамках своих должностных полномочий выполнение решений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6.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7. Для организационного обеспечения деятельности Комиссии председатель Комиссии определяет структурное подразделение органа исполнительной власти субъекта Российской Федерации (аппарат Комиссии).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8. Председатель Комиссии назначает должностное лицо (руководителя аппарата Комиссии), определяет его полномочия по: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организации работы аппарата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обеспечению взаимодействия Комиссии с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 муниципальных образований, общественными объединениями и организациями, а также средствами массовой информации;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иным вопросам, связанным с деятельностью Комиссии.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III. Планирование и организация работы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9.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 случае проведения выездных заседаний Комиссии указывается место проведения заседания.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12. Предложения в план заседаний Комиссии вносятся в письменной форме членами Комиссии в аппарат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 xml:space="preserve">наименование вопроса и краткое обоснование необходимости его рассмотрения на заседании </w:t>
      </w:r>
      <w:r>
        <w:lastRenderedPageBreak/>
        <w:t>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наименование органа, ответственного за подготовку вопроса;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перечень соисполнителей;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срок рассмотрения на заседании Комиссии и при необходимости место проведения заседания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Указанные предложения могут направляться аппаратом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аппарат Комиссии не позднее одного месяца со дня получения предложений, если иное не оговорено в сопроводительном документе.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13. На основе предложений, поступивших в аппарат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14. Копии утвержденного плана заседаний Комиссии рассылаются аппаратом Комиссии членам Комиссии и направляются председателю Комитета. В случае привлечения к подготовке вопросов, включенных в план заседания Комиссии, территориальных органов федеральных органов исполнительной власти, органов исполнительной власти субъектов Российской Федерации либо органов местного самоуправления копии утвержденного плана заседаний Комиссии направляются и в их адрес.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15.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по мотивированному письменному предложению члена Комиссии (органа), ответственного за подготовку вопроса;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по рекомендациям Комитета, касающимся рассмотрения Комиссией вопросов.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Копии измененного утвержденного плана заседаний Комиссии рассылаются аппаратом Комиссии членам Комиссии и направляются председателю Комитета.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16. На заседаниях Комиссии рассмотрению подлежат не включенные в план вопросы о ходе реализации антинаркотических программ в субъекте Российской Федерации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17.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18.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IV. Порядок подготовки заседаний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 xml:space="preserve">19.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</w:t>
      </w:r>
      <w:r>
        <w:lastRenderedPageBreak/>
        <w:t>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20. Аппарат Комиссии организует проведение заседаний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21. 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bookmarkStart w:id="0" w:name="P74"/>
      <w:bookmarkEnd w:id="0"/>
      <w:r>
        <w:t>22. В аппарат Комиссии не позднее чем за 20 дней до даты проведения заседания представляются следующие материалы: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аналитическая справка по рассматриваемому вопросу;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тезисы выступления основного докладчика;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тезисы выступлений содокладчиков;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проект решения по рассматриваемому вопросу с указанием исполнителей поручений и сроков исполнения;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материалы согласования проекта решения с заинтересованными государственными органами;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особое мнение по представленному проекту, если таковое имеется;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иллюстрационные материалы к основному докладу и содокладам;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предложения по составу приглашенных на заседание Комиссии лиц.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23. 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 xml:space="preserve">24. В случае непредставления материалов в указанный в </w:t>
      </w:r>
      <w:hyperlink w:anchor="P74">
        <w:r>
          <w:rPr>
            <w:color w:val="0000FF"/>
          </w:rPr>
          <w:t>пункте 22</w:t>
        </w:r>
      </w:hyperlink>
      <w:r>
        <w:t xml:space="preserve">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25. 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26.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27. 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Аппарат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 xml:space="preserve">28. В случае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субъекта Российской Федерации, одновременно с подготовкой материалов к заседанию Комиссии органом, ответственным за подготовку вопроса, разрабатываются и представляются в </w:t>
      </w:r>
      <w:r>
        <w:lastRenderedPageBreak/>
        <w:t>установленном порядке проекты указанных актов. При необходимости представляется финансово-экономическое обоснование.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29. Члены Комиссии не позднее чем за 2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30.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образований, а также руководители иных органов и организаций, имеющих непосредственное отношение к рассматриваемому вопросу.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31.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V. Порядок проведения заседаний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32. Заседания Комиссии созываются председателем Комиссии либо по его поручению руководителем аппарата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33. Лица, участвующие в заседаниях Комиссии, регистрируются сотрудниками аппарата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34. Заседание Комиссии считается правомочным, если на нем присутствует более половины ее членов.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35. Заседания проходят под председательством председателя Комиссии, который: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ведет заседание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организует обсуждение вопросов повестки дня заседания Комиссии;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организует обсуждение поступивших от членов Комиссии замечаний и предложений по проекту решения;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организует голосование и подсчет голосов, оглашает результаты голосования;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обеспечивает соблюдение положений настоящего Регламента членами Комиссии и приглашенными лицами.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 случае проведения голосования по рассматриваемому вопросу председатель голосует последним.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По поручению председателя Комиссии заседание может проводить его заместитель, пользуясь указанными правами.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исполнительной власти субъектов Российской Федерации либо органов местного самоуправления, участвовавших в подготовке рассматриваемых вопросов.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37. Регламент заседания Комиссии определяется при подготовке к заседанию и утверждается непосредственно на заседании.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 xml:space="preserve">38.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</w:t>
      </w:r>
      <w:r>
        <w:lastRenderedPageBreak/>
        <w:t>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39.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41. По решению председателя Комиссии на заседаниях Комиссии может вестись стенографическая запись и аудиозапись заседания.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42. Показ иллюстрационных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43.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44. Материалы, содержащие сведения, составляющие государственную тайну, передаются членам Комиссии под подпись и подлежат возврату сотрудникам аппарата Комиссии по окончании заседания.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45.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VI. Оформление решений, принятых на заседаниях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46. Решение Комиссии оформляется протоколом, который в десятидневный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47. В протоколе указываются: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фамилии председательствующего, присутствующих на заседании членов Комиссии, приглашенных лиц и их должности;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вопросы, рассмотренные в ходе заседания;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принятые решения.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К протоколу прилагаются особые мнения членов Комиссии, если таковые имеются.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48.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49. Протоколы заседаний (выписки из протоколов заседаний) аппаратом Комиссии рассылаются членам Комиссии и председателю Комитета, а также организациям и должностным лицам по списку, утверждаемому руководителем аппарата Комиссии, в трехдневный срок после получения аппаратом Комиссии подписанного протокола.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Title"/>
        <w:jc w:val="center"/>
        <w:outlineLvl w:val="0"/>
      </w:pPr>
      <w:r>
        <w:t>VII. Исполнение поручений, содержащихся в решениях Комиссии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>50.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lastRenderedPageBreak/>
        <w:t>51. Контроль исполнения поручений, содержащихся в решениях Комиссии, осуществляет аппарат Комиссии.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52. Председатель Комиссии определяет сроки и периодичность представления ему результатов контроля.</w:t>
      </w:r>
    </w:p>
    <w:p w:rsidR="00BF7E79" w:rsidRDefault="00BF7E79">
      <w:pPr>
        <w:pStyle w:val="ConsPlusNormal"/>
        <w:spacing w:before="200"/>
        <w:ind w:firstLine="540"/>
        <w:jc w:val="both"/>
      </w:pPr>
      <w:r>
        <w:t>53. Снятие поручений с контроля осуществляется аппаратом Комиссии на основании решения председателя Комиссии, о чем информируется исполнитель.</w:t>
      </w:r>
    </w:p>
    <w:p w:rsidR="00BF7E79" w:rsidRDefault="00BF7E79">
      <w:pPr>
        <w:pStyle w:val="ConsPlusNormal"/>
        <w:jc w:val="both"/>
      </w:pPr>
    </w:p>
    <w:p w:rsidR="00BF7E79" w:rsidRDefault="00BF7E79">
      <w:pPr>
        <w:pStyle w:val="ConsPlusTitle"/>
        <w:jc w:val="center"/>
        <w:outlineLvl w:val="0"/>
      </w:pPr>
      <w:r>
        <w:t>VIII. Иные положения</w:t>
      </w:r>
    </w:p>
    <w:p w:rsidR="00BF7E79" w:rsidRDefault="00BF7E79">
      <w:pPr>
        <w:pStyle w:val="ConsPlusNormal"/>
        <w:ind w:firstLine="540"/>
        <w:jc w:val="both"/>
      </w:pPr>
    </w:p>
    <w:p w:rsidR="00BF7E79" w:rsidRDefault="00BF7E79">
      <w:pPr>
        <w:pStyle w:val="ConsPlusNormal"/>
        <w:ind w:firstLine="540"/>
        <w:jc w:val="both"/>
      </w:pPr>
      <w:r>
        <w:t xml:space="preserve">54. Признать утратившим силу </w:t>
      </w:r>
      <w:hyperlink r:id="rId7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Федерации, утвержденный председателем Комитета 28 ноября 2007 г. N ВЧ-3531.</w:t>
      </w:r>
    </w:p>
    <w:p w:rsidR="00BF7E79" w:rsidRDefault="00BF7E79">
      <w:pPr>
        <w:pStyle w:val="ConsPlusNormal"/>
        <w:jc w:val="both"/>
      </w:pPr>
    </w:p>
    <w:p w:rsidR="00BF7E79" w:rsidRDefault="00BF7E79">
      <w:pPr>
        <w:pStyle w:val="ConsPlusNormal"/>
        <w:jc w:val="both"/>
      </w:pPr>
    </w:p>
    <w:p w:rsidR="00BF7E79" w:rsidRDefault="00BF7E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393" w:rsidRDefault="00333393">
      <w:bookmarkStart w:id="1" w:name="_GoBack"/>
      <w:bookmarkEnd w:id="1"/>
    </w:p>
    <w:sectPr w:rsidR="00333393" w:rsidSect="009F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79"/>
    <w:rsid w:val="00333393"/>
    <w:rsid w:val="00B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DA59-E500-437E-8D2F-0A3C000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7E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7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549529BF0DFF673811552A03E3F6DBD38F3FC763A6C5151B328823F14C909421F7928E89EE35D547F860DA1BuDg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49529BF0DFF6738115C3304E3F6DBD68E3BC064AEC5151B328823F14C909433F7CA8288ED2AD449ED368B5D8A2CE0F57821C2E9E7FB9Bu5g6L" TargetMode="External"/><Relationship Id="rId5" Type="http://schemas.openxmlformats.org/officeDocument/2006/relationships/hyperlink" Target="consultantplus://offline/ref=B6549529BF0DFF6738115C3304E3F6DBD68E3BC064AEC5151B328823F14C909433F7CA8288ED2BD446ED368B5D8A2CE0F57821C2E9E7FB9Bu5g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1</cp:revision>
  <dcterms:created xsi:type="dcterms:W3CDTF">2022-09-13T11:32:00Z</dcterms:created>
  <dcterms:modified xsi:type="dcterms:W3CDTF">2022-09-13T11:33:00Z</dcterms:modified>
</cp:coreProperties>
</file>