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B92" w:rsidRDefault="002E6B92" w:rsidP="002E6B92">
      <w:pPr>
        <w:spacing w:line="260" w:lineRule="exact"/>
        <w:ind w:firstLine="708"/>
        <w:jc w:val="center"/>
        <w:rPr>
          <w:b/>
          <w:sz w:val="28"/>
          <w:szCs w:val="28"/>
        </w:rPr>
      </w:pPr>
      <w:r w:rsidRPr="00F817DC">
        <w:rPr>
          <w:b/>
          <w:sz w:val="28"/>
          <w:szCs w:val="28"/>
        </w:rPr>
        <w:t xml:space="preserve">Информация о результатах плановой проверки в финансово-бюджетной сфере </w:t>
      </w:r>
      <w:r w:rsidRPr="00F817DC">
        <w:rPr>
          <w:b/>
          <w:sz w:val="28"/>
          <w:szCs w:val="28"/>
          <w:lang w:eastAsia="en-US"/>
        </w:rPr>
        <w:t xml:space="preserve">в </w:t>
      </w:r>
      <w:r w:rsidRPr="00F817DC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«Управление ГОЧС Боровичского муниципального района»</w:t>
      </w:r>
    </w:p>
    <w:p w:rsidR="002E6B92" w:rsidRDefault="002E6B92" w:rsidP="002E6B92">
      <w:pPr>
        <w:spacing w:line="260" w:lineRule="exact"/>
        <w:ind w:firstLine="708"/>
        <w:jc w:val="both"/>
        <w:rPr>
          <w:sz w:val="28"/>
          <w:szCs w:val="28"/>
          <w:lang w:eastAsia="en-US"/>
        </w:rPr>
      </w:pPr>
    </w:p>
    <w:p w:rsidR="002E6B92" w:rsidRPr="009E6364" w:rsidRDefault="002E6B92" w:rsidP="002E6B92">
      <w:pPr>
        <w:spacing w:line="260" w:lineRule="exact"/>
        <w:ind w:firstLine="708"/>
        <w:jc w:val="both"/>
        <w:rPr>
          <w:sz w:val="28"/>
          <w:szCs w:val="28"/>
          <w:lang w:eastAsia="en-US"/>
        </w:rPr>
      </w:pPr>
      <w:r w:rsidRPr="009E6364">
        <w:rPr>
          <w:sz w:val="28"/>
          <w:szCs w:val="28"/>
          <w:lang w:eastAsia="en-US"/>
        </w:rPr>
        <w:t xml:space="preserve">Комитетом финансов Администрации Боровичского муниципального района проведена плановая камеральная проверка </w:t>
      </w:r>
      <w:r w:rsidRPr="009E6364">
        <w:rPr>
          <w:sz w:val="28"/>
          <w:szCs w:val="28"/>
        </w:rPr>
        <w:t xml:space="preserve">в финансово-бюджетной сфере в </w:t>
      </w:r>
      <w:r w:rsidRPr="009E6364">
        <w:rPr>
          <w:rFonts w:eastAsia="Calibri"/>
          <w:sz w:val="28"/>
          <w:szCs w:val="28"/>
          <w:lang w:eastAsia="zh-CN"/>
        </w:rPr>
        <w:t>Муниципальном казенном учреждении «Управление по делам гражданской обороны и чрезвычайным ситуациям Боровичского муниципального района»</w:t>
      </w:r>
      <w:r w:rsidRPr="009E6364">
        <w:rPr>
          <w:sz w:val="28"/>
          <w:szCs w:val="28"/>
          <w:lang w:eastAsia="en-US"/>
        </w:rPr>
        <w:t xml:space="preserve"> (далее – Учреждение) за проверяемый период с 01.01.2023</w:t>
      </w:r>
      <w:r w:rsidRPr="009E6364">
        <w:rPr>
          <w:sz w:val="28"/>
          <w:szCs w:val="28"/>
        </w:rPr>
        <w:t xml:space="preserve"> по 31.01.2025 года </w:t>
      </w:r>
      <w:r w:rsidRPr="009E6364">
        <w:rPr>
          <w:sz w:val="28"/>
          <w:szCs w:val="28"/>
          <w:lang w:eastAsia="en-US"/>
        </w:rPr>
        <w:t xml:space="preserve">по теме:  </w:t>
      </w:r>
      <w:r w:rsidRPr="009E6364">
        <w:rPr>
          <w:sz w:val="28"/>
          <w:szCs w:val="28"/>
        </w:rPr>
        <w:t xml:space="preserve">Проверка финансово-хозяйственной деятельности в части правомерности расходования фонда оплаты труда» </w:t>
      </w:r>
      <w:r w:rsidRPr="009E6364">
        <w:rPr>
          <w:sz w:val="28"/>
          <w:szCs w:val="28"/>
          <w:lang w:eastAsia="en-US"/>
        </w:rPr>
        <w:t>(Акт от 28.02.2025 г.).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  <w:lang w:eastAsia="zh-CN"/>
        </w:rPr>
        <w:t>В ходе проверки были выявлены</w:t>
      </w:r>
      <w:r w:rsidRPr="009E6364">
        <w:rPr>
          <w:sz w:val="28"/>
          <w:szCs w:val="28"/>
        </w:rPr>
        <w:t xml:space="preserve"> нарушения Трудового Кодекса РФ, Налогового Кодекса РФ, Бюджетного Кодекса РФ, Федерального закона от 06.12.2011 N 402-ФЗ </w:t>
      </w:r>
      <w:r w:rsidRPr="009E6364">
        <w:rPr>
          <w:rStyle w:val="qaanswerbody"/>
          <w:sz w:val="28"/>
          <w:szCs w:val="28"/>
        </w:rPr>
        <w:t>«О бухгалтерском учете»</w:t>
      </w:r>
      <w:r w:rsidRPr="009E6364">
        <w:rPr>
          <w:sz w:val="28"/>
          <w:szCs w:val="28"/>
        </w:rPr>
        <w:t xml:space="preserve">, Федерального закона от 29.12.06 г. № 255-ФЗ «Об обязательном социальном страховании на случай временной нетрудоспособности и в связи с материнством», Федерального закона от 24.07.1998 № 125-ФЗ «Об обязательном социальном страховании от несчастных случаев на производстве и профессиональных заболеваний», </w:t>
      </w:r>
      <w:r w:rsidRPr="009E6364">
        <w:rPr>
          <w:color w:val="000000"/>
          <w:sz w:val="28"/>
          <w:szCs w:val="28"/>
        </w:rPr>
        <w:t xml:space="preserve">Приказа Минфина России от 01.12.2010 N 157н </w:t>
      </w:r>
      <w:r w:rsidRPr="009E6364">
        <w:rPr>
          <w:rFonts w:eastAsia="Calibri"/>
          <w:sz w:val="28"/>
          <w:szCs w:val="28"/>
        </w:rPr>
        <w:t>«</w:t>
      </w:r>
      <w:r w:rsidRPr="009E6364">
        <w:rPr>
          <w:color w:val="000000"/>
          <w:sz w:val="28"/>
          <w:szCs w:val="28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06.12.2010 N 162н </w:t>
      </w:r>
      <w:r w:rsidRPr="009E6364">
        <w:rPr>
          <w:rFonts w:eastAsia="Calibri"/>
          <w:sz w:val="28"/>
          <w:szCs w:val="28"/>
        </w:rPr>
        <w:t>«</w:t>
      </w:r>
      <w:r w:rsidRPr="009E6364">
        <w:rPr>
          <w:color w:val="000000"/>
          <w:sz w:val="28"/>
          <w:szCs w:val="28"/>
        </w:rPr>
        <w:t xml:space="preserve">Об утверждении Плана счетов бюджетного учета и Инструкции по его применению», </w:t>
      </w:r>
      <w:r w:rsidRPr="009E6364">
        <w:rPr>
          <w:sz w:val="28"/>
          <w:szCs w:val="28"/>
        </w:rPr>
        <w:t>Приказа Минфина России от 28.12.2010 N 191н</w:t>
      </w:r>
      <w:r>
        <w:rPr>
          <w:sz w:val="28"/>
          <w:szCs w:val="28"/>
        </w:rPr>
        <w:t xml:space="preserve"> </w:t>
      </w:r>
      <w:r w:rsidRPr="009E6364">
        <w:rPr>
          <w:sz w:val="28"/>
          <w:szCs w:val="28"/>
        </w:rPr>
        <w:t xml:space="preserve">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Приказа Минфина России от 30.03.2015 N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Приказа Минфина России от 29.11.2017 N 209н, </w:t>
      </w:r>
      <w:r w:rsidRPr="009E6364">
        <w:rPr>
          <w:color w:val="000000"/>
          <w:sz w:val="28"/>
          <w:szCs w:val="28"/>
        </w:rPr>
        <w:t>Приказа Минфина от 14.02.2018 N 26н «Об Общих требованиях к порядку составления, утверждения и ведения бюджетных смет казенных учреждений»,</w:t>
      </w:r>
      <w:r w:rsidRPr="009E6364">
        <w:rPr>
          <w:sz w:val="28"/>
          <w:szCs w:val="28"/>
        </w:rPr>
        <w:t xml:space="preserve"> Федеральных стандартов бухгалтерского учета N 256н </w:t>
      </w:r>
      <w:r w:rsidRPr="009E6364">
        <w:rPr>
          <w:rFonts w:eastAsia="Courier New"/>
          <w:color w:val="000000"/>
          <w:sz w:val="28"/>
          <w:szCs w:val="28"/>
        </w:rPr>
        <w:t>«Об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сектора»</w:t>
      </w:r>
      <w:r w:rsidRPr="009E6364">
        <w:rPr>
          <w:sz w:val="28"/>
          <w:szCs w:val="28"/>
        </w:rPr>
        <w:t xml:space="preserve">,  от 15.11.2019 N 184н «Об утверждении федерального стандарта бухгалтерского учета государственных финансов «Выплаты персоналу», иных указаний Минфина, муниципальных правовых актов, а также иные недостатки ведения финансово-хозяйственной деятельности при исполнении бюджета Боровичского муниципального района и расходовании бюджетных средств. Среди основных нарушений следующие: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 В нарушение ст.100 ТК РФ в Правилах внутреннего трудового распорядка (с учетом изменений) отсутствует установленный режим рабочего времени Единой дежурной диспетчерской службы. Согласно утвержденных графиков работы и табелей учета рабочего времени дежурная смена заступает на сутки с 08.00 до 08.00 следующего дня.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iCs/>
          <w:sz w:val="28"/>
          <w:szCs w:val="28"/>
        </w:rPr>
      </w:pPr>
      <w:r w:rsidRPr="009E6364">
        <w:rPr>
          <w:sz w:val="28"/>
          <w:szCs w:val="28"/>
        </w:rPr>
        <w:t xml:space="preserve">*В нарушение </w:t>
      </w:r>
      <w:hyperlink r:id="rId4" w:history="1">
        <w:r w:rsidRPr="009E6364">
          <w:rPr>
            <w:sz w:val="28"/>
            <w:szCs w:val="28"/>
          </w:rPr>
          <w:t>ст. 135</w:t>
        </w:r>
      </w:hyperlink>
      <w:r w:rsidRPr="009E6364">
        <w:rPr>
          <w:sz w:val="28"/>
          <w:szCs w:val="28"/>
        </w:rPr>
        <w:t xml:space="preserve"> ТК РФ, </w:t>
      </w:r>
      <w:hyperlink r:id="rId5" w:history="1">
        <w:r w:rsidRPr="009E6364">
          <w:rPr>
            <w:sz w:val="28"/>
            <w:szCs w:val="28"/>
          </w:rPr>
          <w:t>ч. 4 ст. 129</w:t>
        </w:r>
      </w:hyperlink>
      <w:r w:rsidRPr="009E6364">
        <w:rPr>
          <w:sz w:val="28"/>
          <w:szCs w:val="28"/>
        </w:rPr>
        <w:t xml:space="preserve"> ТК РФ </w:t>
      </w:r>
      <w:r w:rsidRPr="009E6364">
        <w:rPr>
          <w:rFonts w:eastAsia="Calibri"/>
          <w:iCs/>
          <w:sz w:val="28"/>
          <w:szCs w:val="28"/>
        </w:rPr>
        <w:t xml:space="preserve">выплаты по окладу, фактически осуществленные работникам не соответствовали окладам, установленным в штатных расписаниях и трудовых договорах, а были значительно выше. Переплата составила 116466,36 руб. </w:t>
      </w:r>
    </w:p>
    <w:p w:rsidR="002E6B92" w:rsidRPr="009E6364" w:rsidRDefault="002E6B92" w:rsidP="002E6B92">
      <w:pPr>
        <w:spacing w:line="260" w:lineRule="exact"/>
        <w:jc w:val="both"/>
        <w:rPr>
          <w:b/>
          <w:sz w:val="28"/>
          <w:szCs w:val="28"/>
        </w:rPr>
      </w:pPr>
      <w:r w:rsidRPr="009E6364">
        <w:rPr>
          <w:rFonts w:eastAsia="Calibri"/>
          <w:iCs/>
          <w:sz w:val="28"/>
          <w:szCs w:val="28"/>
        </w:rPr>
        <w:tab/>
        <w:t>*</w:t>
      </w:r>
      <w:r w:rsidRPr="009E6364">
        <w:rPr>
          <w:sz w:val="28"/>
          <w:szCs w:val="28"/>
        </w:rPr>
        <w:t>В нарушение п. 2.4.4, п. 3.3.4 Положения по оплате труда, в проверяемом периоде были выявлены нарушения в части исчисления надбавки за выслугу лет. Переплата составила 8578,49 руб.</w:t>
      </w:r>
      <w:r w:rsidRPr="009E6364">
        <w:rPr>
          <w:b/>
          <w:sz w:val="28"/>
          <w:szCs w:val="28"/>
        </w:rPr>
        <w:t xml:space="preserve"> </w:t>
      </w:r>
    </w:p>
    <w:p w:rsidR="002E6B92" w:rsidRPr="009E6364" w:rsidRDefault="002E6B92" w:rsidP="002E6B92">
      <w:pPr>
        <w:spacing w:line="260" w:lineRule="exact"/>
        <w:jc w:val="both"/>
        <w:rPr>
          <w:b/>
          <w:sz w:val="28"/>
          <w:szCs w:val="28"/>
        </w:rPr>
      </w:pPr>
      <w:r w:rsidRPr="009E6364">
        <w:rPr>
          <w:b/>
          <w:sz w:val="28"/>
          <w:szCs w:val="28"/>
        </w:rPr>
        <w:lastRenderedPageBreak/>
        <w:tab/>
        <w:t>*</w:t>
      </w:r>
      <w:r w:rsidRPr="009E6364">
        <w:rPr>
          <w:sz w:val="28"/>
          <w:szCs w:val="28"/>
        </w:rPr>
        <w:t xml:space="preserve"> В нарушение ст.153 ТК РФ при расчете оплаты за работу в выходные и нерабочие праздничные дни Учреждением не учитывался тот факт, что при суммированном учете рабочего времени работа в праздничные дни включается в месячную норму рабочего времени и оплате сверх оклада подлежит только то количество часов, которое отработано сверх этой месячной нормы.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rFonts w:eastAsia="Calibri"/>
          <w:iCs/>
          <w:sz w:val="28"/>
          <w:szCs w:val="28"/>
        </w:rPr>
      </w:pPr>
      <w:r w:rsidRPr="009E6364">
        <w:rPr>
          <w:sz w:val="28"/>
          <w:szCs w:val="28"/>
        </w:rPr>
        <w:t>* В нарушение п.3.1.4 Положения по оплате труда № 1651, оплата за работу в выходные и праздничные дни осуществлялась без приказа руководителя Учреждения.</w:t>
      </w:r>
      <w:r w:rsidRPr="009E6364">
        <w:rPr>
          <w:rFonts w:eastAsia="Calibri"/>
          <w:iCs/>
          <w:sz w:val="28"/>
          <w:szCs w:val="28"/>
        </w:rPr>
        <w:t xml:space="preserve">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</w:t>
      </w:r>
      <w:r w:rsidRPr="009E6364">
        <w:rPr>
          <w:rFonts w:eastAsia="Calibri"/>
          <w:iCs/>
          <w:sz w:val="28"/>
          <w:szCs w:val="28"/>
        </w:rPr>
        <w:t>В нарушение ст.136 ТК РФ п</w:t>
      </w:r>
      <w:r w:rsidRPr="009E6364">
        <w:rPr>
          <w:sz w:val="28"/>
          <w:szCs w:val="28"/>
        </w:rPr>
        <w:t>омощнику дежурного оперативного – оператору-112 не выплачена заработная плата за вторую половину мая 2024 года, а именно не оплачено дежурство 30-31 мая.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 xml:space="preserve">Недоплата составила 3102,82 руб. 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Специалисту гражданской обороны Управления в марте 2023 года не оплачен 1 рабочий день.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 xml:space="preserve">Недоплата составила 464,44 руб.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 Начальнику отдела в июле 2023 года не оплачен 1 рабочий день.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>Недоплата составила 662,13 руб.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ab/>
        <w:t>*</w:t>
      </w:r>
      <w:r w:rsidRPr="009E6364">
        <w:rPr>
          <w:sz w:val="28"/>
          <w:szCs w:val="28"/>
        </w:rPr>
        <w:t xml:space="preserve"> Слесарю аварийно-восстановительных работ в июле 2023 года не оплачен 1 рабочий день. В результате недоплата составила 858,66 руб.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Помощнику дежурного оперативного-оператора-112 в августе и сентябре 2024 года доплата за совмещение по исполнению должностных обязанностей дежурного оперативного ЕДДС произведена не в полном объеме. Недоплата составила 870,10 руб.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b/>
          <w:sz w:val="28"/>
          <w:szCs w:val="28"/>
        </w:rPr>
      </w:pPr>
      <w:r w:rsidRPr="009E6364">
        <w:rPr>
          <w:b/>
          <w:sz w:val="28"/>
          <w:szCs w:val="28"/>
        </w:rPr>
        <w:tab/>
        <w:t>*</w:t>
      </w:r>
      <w:r w:rsidRPr="009E6364">
        <w:rPr>
          <w:sz w:val="28"/>
          <w:szCs w:val="28"/>
        </w:rPr>
        <w:t xml:space="preserve"> </w:t>
      </w:r>
      <w:bookmarkStart w:id="0" w:name="_Hlk193788779"/>
      <w:r w:rsidRPr="009E6364">
        <w:rPr>
          <w:sz w:val="28"/>
          <w:szCs w:val="28"/>
        </w:rPr>
        <w:t xml:space="preserve">Специалисту гражданской обороны </w:t>
      </w:r>
      <w:bookmarkEnd w:id="0"/>
      <w:r w:rsidRPr="009E6364">
        <w:rPr>
          <w:sz w:val="28"/>
          <w:szCs w:val="28"/>
        </w:rPr>
        <w:t>в марте 2023 года начислена надбавка за интенсивность в размере 100% от оклада, а в приказе № 28 от 24.03.2023 установлено 120%. Недоплата составила 1211,59 руб.</w:t>
      </w:r>
    </w:p>
    <w:p w:rsidR="002E6B92" w:rsidRPr="009E6364" w:rsidRDefault="002E6B92" w:rsidP="002E6B92">
      <w:pPr>
        <w:tabs>
          <w:tab w:val="left" w:pos="182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Специалисту гражданской обороны в декабре 2023 года выплачена надбавка в % от полного оклада, а следовало оплатить от оклада с учетом периода временной нетрудоспособности. Переплата составила 669,57 руб.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Главному бухгалтеру Учреждения надбавка за интенсивность в июле 2023 года выплачена в сумме 18996,00 руб. от полного оклада, а следовало выплатить от оклада с учетом фактически отработанного времени в июле. Переплата составила 5427,42 руб.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Дежурному оперативному ЕДДС в сентябре 2024 года не начислена и не выплачена ежемесячная надбавка за интенсивность и высокие результаты работы в сумме 1076,28 руб. А также не начислена и не выплачена ежемесячная премия, установленная приказом начальника Учреждения № 65 от 25.12.2024 года в размере 50% должностного оклада. Итого сумма недоплаты в сентябре 2024 года составила 3228,83 руб. 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В нарушение п.16 Постановления Правительства № 922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 xml:space="preserve">при расчете среднедневного заработка для выплаты отпускных не использовался коэффициент индексации.  В проверяемый период индексация заработной платы производилась дважды: с 01.01.2024 года на 2% на основании Постановления Администрации БМР от 17.01.24 № 89 и с 01.10.2024 года на 4,5% на основании Постановления Администрации БМР от 02.10.2024 № 3435. 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>*В нарушение ст.14 Федерального закона от 29.12.06 г. № 255-ФЗ «Об обязательном социальном страховании на случай временной нетрудоспособности и в связи с материнством», расчет среднедневного заработка для исчисления пособия по временной нетрудоспособности начальнику ГОЧС в мае 2024 г. занижен.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*В нарушение </w:t>
      </w:r>
      <w:hyperlink r:id="rId6" w:history="1">
        <w:r w:rsidRPr="009E6364">
          <w:rPr>
            <w:sz w:val="28"/>
            <w:szCs w:val="28"/>
          </w:rPr>
          <w:t>ч. 3</w:t>
        </w:r>
      </w:hyperlink>
      <w:r w:rsidRPr="009E6364">
        <w:rPr>
          <w:sz w:val="28"/>
          <w:szCs w:val="28"/>
        </w:rPr>
        <w:t xml:space="preserve">, </w:t>
      </w:r>
      <w:hyperlink r:id="rId7" w:history="1">
        <w:r w:rsidRPr="009E6364">
          <w:rPr>
            <w:sz w:val="28"/>
            <w:szCs w:val="28"/>
          </w:rPr>
          <w:t>4 статьи 84.1</w:t>
        </w:r>
      </w:hyperlink>
      <w:r w:rsidRPr="009E6364">
        <w:rPr>
          <w:sz w:val="28"/>
          <w:szCs w:val="28"/>
        </w:rPr>
        <w:t>, ч.1 статьи 140 ТК РФ окончательный расчет по заработной плате с работниками при увольнении производился не своевременно.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В нарушение ч. 9 статьи 136 Трудового Кодекса РФ, п.6.11 Правил внутреннего трудового распорядка, оплата отпуска работникам учреждения производилась несвоевременно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color w:val="000000"/>
          <w:sz w:val="28"/>
          <w:szCs w:val="28"/>
        </w:rPr>
      </w:pPr>
      <w:r w:rsidRPr="009E6364">
        <w:rPr>
          <w:sz w:val="28"/>
          <w:szCs w:val="28"/>
        </w:rPr>
        <w:tab/>
        <w:t xml:space="preserve">* В нарушение п.8, п.14, п.15 </w:t>
      </w:r>
      <w:r w:rsidRPr="009E6364">
        <w:rPr>
          <w:color w:val="000000"/>
          <w:sz w:val="28"/>
          <w:szCs w:val="28"/>
        </w:rPr>
        <w:t xml:space="preserve">Приказа Минфина от 14.02.2018 N 26н, п.4.2 Постановления Администрации Боровичского муниципального района от 06.11.2018 года № 3897 «Об утверждении Порядка составления, утверждения и ведения бюджетных смет казенных учреждений Боровичского муниципального </w:t>
      </w:r>
      <w:r w:rsidRPr="009E6364">
        <w:rPr>
          <w:color w:val="000000"/>
          <w:sz w:val="28"/>
          <w:szCs w:val="28"/>
        </w:rPr>
        <w:lastRenderedPageBreak/>
        <w:t>района», в 2023-2024 гг. и</w:t>
      </w:r>
      <w:r w:rsidRPr="009E6364">
        <w:rPr>
          <w:bCs/>
          <w:sz w:val="28"/>
          <w:szCs w:val="28"/>
        </w:rPr>
        <w:t>зменения показателей бюджетной сметы (ф.0501013)</w:t>
      </w:r>
      <w:r w:rsidRPr="009E6364">
        <w:rPr>
          <w:color w:val="000000"/>
          <w:sz w:val="28"/>
          <w:szCs w:val="28"/>
        </w:rPr>
        <w:t xml:space="preserve"> Учреждением не формировались</w:t>
      </w:r>
      <w:r w:rsidRPr="009E6364">
        <w:rPr>
          <w:bCs/>
          <w:sz w:val="28"/>
          <w:szCs w:val="28"/>
        </w:rPr>
        <w:t xml:space="preserve">, </w:t>
      </w:r>
      <w:r w:rsidRPr="009E6364">
        <w:rPr>
          <w:sz w:val="28"/>
          <w:szCs w:val="28"/>
        </w:rPr>
        <w:t>в Бюджетной смете на 2024 финансовый год отсутствует раздел 2 «Лимиты бюджетных обязательств по расходам получателя бюджетных средств».</w:t>
      </w:r>
      <w:r w:rsidRPr="009E6364">
        <w:rPr>
          <w:b/>
          <w:color w:val="000000"/>
          <w:sz w:val="28"/>
          <w:szCs w:val="28"/>
        </w:rPr>
        <w:t xml:space="preserve"> </w:t>
      </w:r>
      <w:r w:rsidRPr="009E6364">
        <w:rPr>
          <w:color w:val="000000"/>
          <w:sz w:val="28"/>
          <w:szCs w:val="28"/>
        </w:rPr>
        <w:t xml:space="preserve">Имеются признаки административного правонарушения по </w:t>
      </w:r>
      <w:hyperlink r:id="rId8" w:history="1">
        <w:r w:rsidRPr="009E6364">
          <w:rPr>
            <w:sz w:val="28"/>
            <w:szCs w:val="28"/>
          </w:rPr>
          <w:t>ч. 2 ст. 15.15.7</w:t>
        </w:r>
      </w:hyperlink>
      <w:r w:rsidRPr="009E6364">
        <w:rPr>
          <w:sz w:val="28"/>
          <w:szCs w:val="28"/>
        </w:rPr>
        <w:t xml:space="preserve"> КоАП РФ.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 В 2024 году фактические расходы по заработной плате, согласно Главной книге Учреждения, произведены сверх доведенных ЛБО и превышают кассовый расход на 9621,00 руб. </w:t>
      </w:r>
    </w:p>
    <w:p w:rsidR="002E6B92" w:rsidRPr="009E6364" w:rsidRDefault="002E6B92" w:rsidP="002E6B92">
      <w:pPr>
        <w:spacing w:line="260" w:lineRule="exact"/>
        <w:contextualSpacing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 В нарушение ст.133 НК РФ перечисления НДФЛ производились с нарушением установленного срока. </w:t>
      </w:r>
    </w:p>
    <w:p w:rsidR="002E6B92" w:rsidRPr="009E6364" w:rsidRDefault="002E6B92" w:rsidP="002E6B92">
      <w:pPr>
        <w:spacing w:line="260" w:lineRule="exact"/>
        <w:ind w:firstLine="709"/>
        <w:contextualSpacing/>
        <w:jc w:val="both"/>
        <w:rPr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В нарушение п.4 ст.22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 xml:space="preserve">Федерального закона от 24.07.1998 № 125-ФЗ страховые взносы от несчастных случаев на производстве и профессиональных заболеваний перечислялись несвоевременно.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bCs/>
          <w:sz w:val="28"/>
          <w:szCs w:val="28"/>
        </w:rPr>
      </w:pPr>
      <w:r w:rsidRPr="009E6364">
        <w:rPr>
          <w:sz w:val="28"/>
          <w:szCs w:val="28"/>
        </w:rPr>
        <w:tab/>
        <w:t xml:space="preserve">* В нарушение статьи 34, </w:t>
      </w:r>
      <w:hyperlink r:id="rId9" w:history="1">
        <w:proofErr w:type="spellStart"/>
        <w:r w:rsidRPr="009E6364">
          <w:rPr>
            <w:sz w:val="28"/>
            <w:szCs w:val="28"/>
          </w:rPr>
          <w:t>пп</w:t>
        </w:r>
        <w:proofErr w:type="spellEnd"/>
        <w:r w:rsidRPr="009E6364">
          <w:rPr>
            <w:sz w:val="28"/>
            <w:szCs w:val="28"/>
          </w:rPr>
          <w:t>. 3 п. 1 ст. 162</w:t>
        </w:r>
      </w:hyperlink>
      <w:r w:rsidRPr="009E6364">
        <w:rPr>
          <w:sz w:val="28"/>
          <w:szCs w:val="28"/>
        </w:rPr>
        <w:t xml:space="preserve"> БК РФ имеются признаки неэффективного использования бюджетных средств, а именно, при наличии неиспользованного остатка лимитов бюджетных обязательств по КБК 45603099200001690119 в сумме 17346,15 руб. по состоянию на 01.01.2024 года имеется кредиторская задолженность по страховым взносам</w:t>
      </w:r>
      <w:r w:rsidRPr="009E6364">
        <w:rPr>
          <w:b/>
          <w:bCs/>
          <w:sz w:val="28"/>
          <w:szCs w:val="28"/>
        </w:rPr>
        <w:t xml:space="preserve"> </w:t>
      </w:r>
      <w:r w:rsidRPr="009E6364">
        <w:rPr>
          <w:bCs/>
          <w:sz w:val="28"/>
          <w:szCs w:val="28"/>
        </w:rPr>
        <w:t>по обязательному социальному страхованию на выплаты по оплате труда работников в сумме 7683,81 руб.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rFonts w:eastAsia="Calibri"/>
          <w:sz w:val="28"/>
          <w:szCs w:val="28"/>
          <w:lang w:val="ru-RU"/>
        </w:rPr>
      </w:pPr>
      <w:r w:rsidRPr="009E6364">
        <w:rPr>
          <w:sz w:val="28"/>
          <w:szCs w:val="28"/>
          <w:lang w:val="ru-RU"/>
        </w:rPr>
        <w:tab/>
      </w:r>
      <w:r w:rsidRPr="009E6364">
        <w:rPr>
          <w:sz w:val="28"/>
          <w:szCs w:val="28"/>
          <w:lang w:val="ru-RU"/>
        </w:rPr>
        <w:tab/>
        <w:t>*</w:t>
      </w:r>
      <w:r w:rsidRPr="009E6364">
        <w:rPr>
          <w:rFonts w:eastAsia="Calibri"/>
          <w:sz w:val="28"/>
          <w:szCs w:val="28"/>
          <w:lang w:val="ru-RU"/>
        </w:rPr>
        <w:t xml:space="preserve"> В нарушение </w:t>
      </w:r>
      <w:hyperlink r:id="rId10" w:history="1">
        <w:r w:rsidRPr="009E6364">
          <w:rPr>
            <w:rFonts w:eastAsia="Calibri"/>
            <w:sz w:val="28"/>
            <w:szCs w:val="28"/>
            <w:lang w:val="ru-RU"/>
          </w:rPr>
          <w:t>п. 10.6.6</w:t>
        </w:r>
      </w:hyperlink>
      <w:r w:rsidRPr="009E6364">
        <w:rPr>
          <w:rFonts w:eastAsia="Calibri"/>
          <w:sz w:val="28"/>
          <w:szCs w:val="28"/>
          <w:lang w:val="ru-RU"/>
        </w:rPr>
        <w:t xml:space="preserve"> Порядка </w:t>
      </w:r>
      <w:r w:rsidRPr="009E6364">
        <w:rPr>
          <w:rFonts w:eastAsia="Calibri"/>
          <w:sz w:val="28"/>
          <w:szCs w:val="28"/>
        </w:rPr>
        <w:t>N</w:t>
      </w:r>
      <w:r w:rsidRPr="009E6364">
        <w:rPr>
          <w:rFonts w:eastAsia="Calibri"/>
          <w:sz w:val="28"/>
          <w:szCs w:val="28"/>
          <w:lang w:val="ru-RU"/>
        </w:rPr>
        <w:t xml:space="preserve"> 209н «Об утверждении Порядка применения классификации операций сектора государственного управления», </w:t>
      </w:r>
      <w:hyperlink r:id="rId11" w:history="1">
        <w:r w:rsidRPr="009E6364">
          <w:rPr>
            <w:rFonts w:eastAsia="Calibri"/>
            <w:sz w:val="28"/>
            <w:szCs w:val="28"/>
            <w:lang w:val="ru-RU"/>
          </w:rPr>
          <w:t>Письм</w:t>
        </w:r>
      </w:hyperlink>
      <w:r w:rsidRPr="009E6364">
        <w:rPr>
          <w:rFonts w:eastAsia="Calibri"/>
          <w:sz w:val="28"/>
          <w:szCs w:val="28"/>
          <w:lang w:val="ru-RU"/>
        </w:rPr>
        <w:t xml:space="preserve">а Минфина России от 29.06.2018 </w:t>
      </w:r>
      <w:r w:rsidRPr="009E6364">
        <w:rPr>
          <w:rFonts w:eastAsia="Calibri"/>
          <w:sz w:val="28"/>
          <w:szCs w:val="28"/>
        </w:rPr>
        <w:t>N</w:t>
      </w:r>
      <w:r w:rsidRPr="009E6364">
        <w:rPr>
          <w:rFonts w:eastAsia="Calibri"/>
          <w:sz w:val="28"/>
          <w:szCs w:val="28"/>
          <w:lang w:val="ru-RU"/>
        </w:rPr>
        <w:t xml:space="preserve"> 02-05-10/45153 начисление и выплата пособий за первые три дня временной нетрудоспособности за счет средств работодателя производилась по подстатье 211 «Заработная плата», а следовало производить по подстатье 266 «Социальные пособия и компенсации персоналу в денежной форме». 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rFonts w:eastAsia="Calibri"/>
          <w:sz w:val="28"/>
          <w:szCs w:val="28"/>
          <w:lang w:val="ru-RU"/>
        </w:rPr>
      </w:pPr>
      <w:r w:rsidRPr="009E6364">
        <w:rPr>
          <w:rFonts w:eastAsia="Calibri"/>
          <w:sz w:val="28"/>
          <w:szCs w:val="28"/>
          <w:lang w:val="ru-RU"/>
        </w:rPr>
        <w:tab/>
      </w:r>
      <w:r w:rsidRPr="009E6364">
        <w:rPr>
          <w:rFonts w:eastAsia="Calibri"/>
          <w:sz w:val="28"/>
          <w:szCs w:val="28"/>
          <w:lang w:val="ru-RU"/>
        </w:rPr>
        <w:tab/>
        <w:t>* В нарушение п. 256 Инструкции № 157н, п.102 Инструкции № 162н расходы по выплате пособий за первые три дня временной нетрудоспособности за счет средств работодателя отражались на бухгалтерском счете 302.11.000 «Расчеты по заработной плате», а следовало отразить на счете 302.66.000 «Расчеты по социальным пособиям и компенсациям персоналу в денежной форме», что является  нарушением методологии применения плана счетов бухгалтерского учета. Также данное нарушение привело к искажению бухгалтерской отчетности, а именно гр.5 и гр. 7 ф.0503169 по счетам бюджетного учета 03099200001690111 1</w:t>
      </w:r>
      <w:r w:rsidRPr="009E6364">
        <w:rPr>
          <w:rFonts w:eastAsia="Calibri"/>
          <w:sz w:val="28"/>
          <w:szCs w:val="28"/>
        </w:rPr>
        <w:t> </w:t>
      </w:r>
      <w:r w:rsidRPr="009E6364">
        <w:rPr>
          <w:rFonts w:eastAsia="Calibri"/>
          <w:sz w:val="28"/>
          <w:szCs w:val="28"/>
          <w:lang w:val="ru-RU"/>
        </w:rPr>
        <w:t>302.11.007 и 03099200001690111 1.302.66.007 по состоянию на 01.01.2024 года на сумму 31794,75 руб., по состоянию на 01.01.2025 года на 31743,84 руб.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sz w:val="28"/>
          <w:szCs w:val="28"/>
          <w:lang w:val="ru-RU"/>
        </w:rPr>
      </w:pPr>
      <w:r w:rsidRPr="009E6364">
        <w:rPr>
          <w:rFonts w:eastAsia="Calibri"/>
          <w:sz w:val="28"/>
          <w:szCs w:val="28"/>
          <w:lang w:val="ru-RU"/>
        </w:rPr>
        <w:tab/>
      </w:r>
      <w:r w:rsidRPr="009E6364">
        <w:rPr>
          <w:rFonts w:eastAsia="Calibri"/>
          <w:sz w:val="28"/>
          <w:szCs w:val="28"/>
          <w:lang w:val="ru-RU"/>
        </w:rPr>
        <w:tab/>
        <w:t>*</w:t>
      </w:r>
      <w:r w:rsidRPr="009E6364">
        <w:rPr>
          <w:sz w:val="28"/>
          <w:szCs w:val="28"/>
          <w:lang w:val="ru-RU"/>
        </w:rPr>
        <w:t>В нарушение статьи 57 ТК РФ в дополнительных соглашениях к трудовым договорам по работникам, выполняющим дополнительную работу на условиях совмещения на период вакантной должности, не указан режим работы.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sz w:val="28"/>
          <w:szCs w:val="28"/>
          <w:lang w:val="ru-RU"/>
        </w:rPr>
      </w:pPr>
      <w:r w:rsidRPr="009E6364">
        <w:rPr>
          <w:rFonts w:eastAsia="Calibri"/>
          <w:sz w:val="28"/>
          <w:szCs w:val="28"/>
          <w:lang w:val="ru-RU"/>
        </w:rPr>
        <w:tab/>
      </w:r>
      <w:r w:rsidRPr="009E6364">
        <w:rPr>
          <w:rFonts w:eastAsia="Calibri"/>
          <w:sz w:val="28"/>
          <w:szCs w:val="28"/>
          <w:lang w:val="ru-RU"/>
        </w:rPr>
        <w:tab/>
        <w:t>*</w:t>
      </w:r>
      <w:r w:rsidRPr="009E6364">
        <w:rPr>
          <w:sz w:val="28"/>
          <w:szCs w:val="28"/>
          <w:lang w:val="ru-RU"/>
        </w:rPr>
        <w:t xml:space="preserve"> В нарушение статьи 151 ТК РФ слесарю аварийно-восстановительных работ доплата за совмещение вакантной должности водителя отделения МТО произведена не в полном объеме. Недоплата составила 785,40 руб. 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b/>
          <w:sz w:val="28"/>
          <w:szCs w:val="28"/>
          <w:lang w:val="ru-RU"/>
        </w:rPr>
      </w:pPr>
      <w:r w:rsidRPr="009E6364">
        <w:rPr>
          <w:rFonts w:eastAsia="Calibri"/>
          <w:sz w:val="28"/>
          <w:szCs w:val="28"/>
          <w:lang w:val="ru-RU"/>
        </w:rPr>
        <w:tab/>
      </w:r>
      <w:r w:rsidRPr="009E6364">
        <w:rPr>
          <w:rFonts w:eastAsia="Calibri"/>
          <w:sz w:val="28"/>
          <w:szCs w:val="28"/>
          <w:lang w:val="ru-RU"/>
        </w:rPr>
        <w:tab/>
        <w:t>*Н</w:t>
      </w:r>
      <w:r w:rsidRPr="009E6364">
        <w:rPr>
          <w:sz w:val="28"/>
          <w:szCs w:val="28"/>
          <w:lang w:val="ru-RU"/>
        </w:rPr>
        <w:t>ачальнику ЕДДС в декабре 2024 года излишне начислена доплата за совмещение должности инструктора отделения организации обучения и подготовки. Переплата составила 399,99 руб.</w:t>
      </w:r>
    </w:p>
    <w:p w:rsidR="002E6B92" w:rsidRPr="009E6364" w:rsidRDefault="002E6B92" w:rsidP="002E6B92">
      <w:pPr>
        <w:tabs>
          <w:tab w:val="left" w:pos="105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rFonts w:eastAsia="Calibri"/>
          <w:sz w:val="28"/>
          <w:szCs w:val="28"/>
        </w:rPr>
        <w:t>*</w:t>
      </w:r>
      <w:r w:rsidRPr="009E6364">
        <w:rPr>
          <w:sz w:val="28"/>
          <w:szCs w:val="28"/>
        </w:rPr>
        <w:t xml:space="preserve"> Начальнику отдела в сентябре 2024 года излишне начислена доплата за совмещение должностей. Переплата составила 1 070,22 руб. </w:t>
      </w:r>
    </w:p>
    <w:p w:rsidR="002E6B92" w:rsidRPr="009E6364" w:rsidRDefault="002E6B92" w:rsidP="002E6B92">
      <w:pPr>
        <w:tabs>
          <w:tab w:val="left" w:pos="105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>* Начальнику отделения доплата за совмещение должностей, установленных доп. соглашением № 2 от 01.03.24 г. выплачена не в полном объеме. Так, за период с июля по октябрь 2024 года не выплачено 2234,16 руб. Недоплата составила 2234,16 руб.</w:t>
      </w:r>
    </w:p>
    <w:p w:rsidR="002E6B92" w:rsidRPr="009E6364" w:rsidRDefault="002E6B92" w:rsidP="002E6B92">
      <w:pPr>
        <w:tabs>
          <w:tab w:val="left" w:pos="105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*Инженеру отделения материально-технического обучения за сентябрь 2023 года не начислена и не выплачена доплата за совмещение должности старшего группы аварийно-восстановительных работ, в сумме 232,29 руб. За период с октября по декабрь 2024 года доплата за совмещение должностей, указанных в дополнительном соглашении № 8 от 28.10.24 г. к трудовому договору от 01.03.23 </w:t>
      </w:r>
      <w:r w:rsidRPr="009E6364">
        <w:rPr>
          <w:sz w:val="28"/>
          <w:szCs w:val="28"/>
        </w:rPr>
        <w:lastRenderedPageBreak/>
        <w:t xml:space="preserve">№ 83 была произведена на 28,63 руб. меньше установленной. Итого недоплата составила 260,92 руб. </w:t>
      </w:r>
    </w:p>
    <w:p w:rsidR="002E6B92" w:rsidRPr="009E6364" w:rsidRDefault="002E6B92" w:rsidP="002E6B92">
      <w:pPr>
        <w:tabs>
          <w:tab w:val="left" w:pos="105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>Имеются признаки административного правонарушения по ч. 6 ст. 5.27 КОАП.</w:t>
      </w:r>
    </w:p>
    <w:p w:rsidR="002E6B92" w:rsidRPr="009E6364" w:rsidRDefault="002E6B92" w:rsidP="002E6B92">
      <w:pPr>
        <w:tabs>
          <w:tab w:val="left" w:pos="1050"/>
        </w:tabs>
        <w:spacing w:line="260" w:lineRule="exact"/>
        <w:ind w:firstLine="709"/>
        <w:jc w:val="both"/>
        <w:rPr>
          <w:b/>
          <w:sz w:val="28"/>
          <w:szCs w:val="28"/>
        </w:rPr>
      </w:pPr>
      <w:r w:rsidRPr="009E6364">
        <w:rPr>
          <w:b/>
          <w:sz w:val="28"/>
          <w:szCs w:val="28"/>
        </w:rPr>
        <w:t>*</w:t>
      </w:r>
      <w:r w:rsidRPr="009E6364">
        <w:rPr>
          <w:sz w:val="28"/>
          <w:szCs w:val="28"/>
        </w:rPr>
        <w:t xml:space="preserve"> В нарушение ст. 57 ТК РФ</w:t>
      </w:r>
      <w:r w:rsidRPr="009E6364">
        <w:rPr>
          <w:b/>
          <w:sz w:val="28"/>
          <w:szCs w:val="28"/>
        </w:rPr>
        <w:t xml:space="preserve"> </w:t>
      </w:r>
      <w:r w:rsidRPr="009E6364">
        <w:rPr>
          <w:sz w:val="28"/>
          <w:szCs w:val="28"/>
        </w:rPr>
        <w:t>должностные инструкции разработаны Учреждением не по каждой должности.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rFonts w:eastAsia="Calibri"/>
          <w:i/>
          <w:sz w:val="28"/>
          <w:szCs w:val="28"/>
          <w:lang w:eastAsia="zh-CN"/>
        </w:rPr>
      </w:pPr>
      <w:r w:rsidRPr="009E6364">
        <w:rPr>
          <w:rStyle w:val="qaanswerbody"/>
          <w:sz w:val="28"/>
          <w:szCs w:val="28"/>
        </w:rPr>
        <w:tab/>
        <w:t>*Отсутствие табелей учета рабочего времени свидетельствует о ненадлежащем исполнении работодателем обязанности по учету рабочего времени, фактически отработанного каждым работником (ч.4 ст. 91 ТК РФ). Имеются признаки административного правонарушения по ч. 1 ст. 5.27 КоАП РФ.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rFonts w:eastAsia="Calibri"/>
          <w:sz w:val="28"/>
          <w:szCs w:val="28"/>
          <w:lang w:val="ru-RU"/>
        </w:rPr>
      </w:pPr>
      <w:r w:rsidRPr="009E6364">
        <w:rPr>
          <w:rFonts w:eastAsia="Calibri"/>
          <w:sz w:val="28"/>
          <w:szCs w:val="28"/>
          <w:lang w:val="ru-RU"/>
        </w:rPr>
        <w:tab/>
      </w:r>
      <w:r w:rsidRPr="009E6364">
        <w:rPr>
          <w:rFonts w:eastAsia="Calibri"/>
          <w:sz w:val="28"/>
          <w:szCs w:val="28"/>
          <w:lang w:val="ru-RU"/>
        </w:rPr>
        <w:tab/>
        <w:t>*</w:t>
      </w:r>
      <w:r w:rsidRPr="009E6364">
        <w:rPr>
          <w:bCs/>
          <w:color w:val="000000"/>
          <w:sz w:val="28"/>
          <w:szCs w:val="28"/>
          <w:lang w:val="ru-RU"/>
        </w:rPr>
        <w:t xml:space="preserve"> В нарушение Приказа Минфина России от 30.03.2015 </w:t>
      </w:r>
      <w:r w:rsidRPr="009E6364">
        <w:rPr>
          <w:bCs/>
          <w:color w:val="000000"/>
          <w:sz w:val="28"/>
          <w:szCs w:val="28"/>
        </w:rPr>
        <w:t>N</w:t>
      </w:r>
      <w:r w:rsidRPr="009E6364">
        <w:rPr>
          <w:bCs/>
          <w:color w:val="000000"/>
          <w:sz w:val="28"/>
          <w:szCs w:val="28"/>
          <w:lang w:val="ru-RU"/>
        </w:rPr>
        <w:t xml:space="preserve"> 52н, указаний Минфина России от 09.08.2019 </w:t>
      </w:r>
      <w:r w:rsidRPr="009E6364">
        <w:rPr>
          <w:bCs/>
          <w:color w:val="000000"/>
          <w:sz w:val="28"/>
          <w:szCs w:val="28"/>
        </w:rPr>
        <w:t>N</w:t>
      </w:r>
      <w:r w:rsidRPr="009E6364">
        <w:rPr>
          <w:bCs/>
          <w:color w:val="000000"/>
          <w:sz w:val="28"/>
          <w:szCs w:val="28"/>
          <w:lang w:val="ru-RU"/>
        </w:rPr>
        <w:t xml:space="preserve"> 02-07-05/60402, </w:t>
      </w:r>
      <w:r w:rsidRPr="009E6364">
        <w:rPr>
          <w:sz w:val="28"/>
          <w:szCs w:val="28"/>
          <w:lang w:val="ru-RU"/>
        </w:rPr>
        <w:t xml:space="preserve">ч. 2 ст. 9 Закона № 402-ФЗ </w:t>
      </w:r>
      <w:r w:rsidRPr="009E6364">
        <w:rPr>
          <w:bCs/>
          <w:color w:val="000000"/>
          <w:sz w:val="28"/>
          <w:szCs w:val="28"/>
          <w:lang w:val="ru-RU"/>
        </w:rPr>
        <w:t>в Карточках-справках (ф.0504417) за 2023 и 2024 год,</w:t>
      </w:r>
      <w:r w:rsidRPr="009E6364">
        <w:rPr>
          <w:sz w:val="28"/>
          <w:szCs w:val="28"/>
          <w:lang w:val="ru-RU"/>
        </w:rPr>
        <w:t xml:space="preserve"> имеются нарушения в части заполнения, а именно: не соблюдены требования об обязательных реквизитах, допускались исправления, замазывания корректором, выявлены несоответствия наименования фактически замещаемой должности сведениям, отраженным в карточке-справке. выявлены несоответствия информации по видам начислений, отраженной в карточке-справке и данным расчетно-платежных ведомостей.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В нарушение ч.4 статьи 103 ТК РФ работники ЕДДС не ознакомлены с графиком заступления на дежурство под подпись.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>* В нарушение статьи 99, статьи 104 ТК графики работы Единой дежурной диспетчерской службы составлялись с нарушением нормы рабочего времени.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 В нарушение ст. 152 ТК РФ сверхурочная работа сотрудникам ЕДДС не оплачивалась. При выборочной проверке был произведен расчет часов, отработанных сверхурочно и выявлена недоплата в сумме 157768,38 руб.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>*</w:t>
      </w:r>
      <w:r w:rsidRPr="009E6364">
        <w:rPr>
          <w:rFonts w:eastAsia="Calibri"/>
          <w:i/>
          <w:sz w:val="28"/>
          <w:szCs w:val="28"/>
          <w:lang w:eastAsia="zh-CN"/>
        </w:rPr>
        <w:t xml:space="preserve"> </w:t>
      </w:r>
      <w:r w:rsidRPr="009E6364">
        <w:rPr>
          <w:rFonts w:eastAsia="Calibri"/>
          <w:sz w:val="28"/>
          <w:szCs w:val="28"/>
          <w:lang w:eastAsia="zh-CN"/>
        </w:rPr>
        <w:t xml:space="preserve">Выявлено несоответствие сумм зачислений на банковские карты сотрудников суммам, предназначенных к выплате после удержаний по </w:t>
      </w:r>
      <w:r w:rsidRPr="009E6364">
        <w:rPr>
          <w:sz w:val="28"/>
          <w:szCs w:val="28"/>
        </w:rPr>
        <w:t>реестру № 1 за 13.01.23 год. Отклонение – 1 269,00 руб.</w:t>
      </w:r>
    </w:p>
    <w:p w:rsidR="002E6B92" w:rsidRPr="009E6364" w:rsidRDefault="002E6B92" w:rsidP="002E6B92">
      <w:pPr>
        <w:tabs>
          <w:tab w:val="left" w:pos="1820"/>
        </w:tabs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* В нарушение Правил внутреннего трудового распорядка, Учреждением не соблюдались установленные сроки выплаты заработной платы. заработная плата перечислялась раньше на 1-3 дня, что является нарушением Трудового законодательства в ч.6 ст. 136 ТК РФ. Законодательство обязывает производить выплаты каждые полмесяца, так как если перечислять заработную плату раньше, разрыв между выплатами превысит 15 дней. Фактически выплата заработной платы производилась с разницей от 16 до 18 дней. Имеются признаки административного правонарушения, квалифицируемого по п.6 ст. 5.27 КОАП. </w:t>
      </w:r>
    </w:p>
    <w:p w:rsidR="002E6B92" w:rsidRPr="009E6364" w:rsidRDefault="002E6B92" w:rsidP="002E6B92">
      <w:pPr>
        <w:pStyle w:val="a4"/>
        <w:shd w:val="clear" w:color="auto" w:fill="FFFFFF"/>
        <w:spacing w:line="260" w:lineRule="exact"/>
        <w:ind w:left="0"/>
        <w:jc w:val="both"/>
        <w:rPr>
          <w:sz w:val="28"/>
          <w:szCs w:val="28"/>
          <w:lang w:val="ru-RU"/>
        </w:rPr>
      </w:pPr>
      <w:r w:rsidRPr="009E6364">
        <w:rPr>
          <w:sz w:val="28"/>
          <w:szCs w:val="28"/>
          <w:lang w:val="ru-RU"/>
        </w:rPr>
        <w:tab/>
      </w:r>
      <w:r w:rsidRPr="009E6364">
        <w:rPr>
          <w:sz w:val="28"/>
          <w:szCs w:val="28"/>
          <w:lang w:val="ru-RU"/>
        </w:rPr>
        <w:tab/>
        <w:t>*При выборочной проверке исчисления</w:t>
      </w:r>
      <w:r w:rsidRPr="009E6364">
        <w:rPr>
          <w:b/>
          <w:sz w:val="28"/>
          <w:szCs w:val="28"/>
          <w:lang w:val="ru-RU"/>
        </w:rPr>
        <w:t xml:space="preserve"> </w:t>
      </w:r>
      <w:r w:rsidRPr="009E6364">
        <w:rPr>
          <w:sz w:val="28"/>
          <w:szCs w:val="28"/>
          <w:lang w:val="ru-RU"/>
        </w:rPr>
        <w:t>страховых взносов по единому тарифу на обязательное пенсионное страхование, обязательное социальное страхование и обязательное медицинское страхование, в нарушение статьи 422 НК РФ, материальная помощь, оказанная работникам, была исключена из базы для исчисления страховых взносов в полном объеме.</w:t>
      </w:r>
      <w:r w:rsidRPr="009E6364">
        <w:rPr>
          <w:b/>
          <w:sz w:val="28"/>
          <w:szCs w:val="28"/>
          <w:lang w:val="ru-RU"/>
        </w:rPr>
        <w:t xml:space="preserve"> </w:t>
      </w:r>
      <w:r w:rsidRPr="009E6364">
        <w:rPr>
          <w:sz w:val="28"/>
          <w:szCs w:val="28"/>
          <w:lang w:val="ru-RU"/>
        </w:rPr>
        <w:t xml:space="preserve">Недоплата страховых взносов за 2024 год в целом составила 10414,19 руб. Имеются признаки административного правонарушения по п.2 ст. 15.15.6 КОАП.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*В нарушение п.11 Инструкции № 157н наименование журналов операций не соответствует установленным настоящей Инструкцией, а также установленным Учетной политикой Учреждения (Приложение № 2), утвержденной приказом начальника Учреждения от 09.01.2019 года № 2, и п. 11 Учетной политики Учреждения, утвержденной приказом начальника Учреждения от 09.01.2024 № 4 (Приложение № 1).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*В нарушение п.21 Инструкции № 157н в счетах бухгалтерского учета, указанных в рабочем плане счетов отсутствуют аналитические коды по классификационному признаку поступлений и выбытий, а также код вида финансового обеспечения.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*В нарушение положений, установленных Учетной политикой Учреждения, утвержденной приказом начальника Учреждения от 09.01.2024 № 4 к журналам операций по оплате труда не подшиты своды начисленной заработной платы за месяц. 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lastRenderedPageBreak/>
        <w:tab/>
        <w:t xml:space="preserve">*В нарушение </w:t>
      </w:r>
      <w:hyperlink r:id="rId12" w:history="1">
        <w:r w:rsidRPr="009E6364">
          <w:rPr>
            <w:sz w:val="28"/>
            <w:szCs w:val="28"/>
          </w:rPr>
          <w:t>п. 19</w:t>
        </w:r>
      </w:hyperlink>
      <w:r w:rsidRPr="009E6364">
        <w:rPr>
          <w:sz w:val="28"/>
          <w:szCs w:val="28"/>
        </w:rPr>
        <w:t xml:space="preserve"> Федерального стандарта N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hyperlink r:id="rId13" w:history="1">
        <w:proofErr w:type="spellStart"/>
        <w:r w:rsidRPr="009E6364">
          <w:rPr>
            <w:sz w:val="28"/>
            <w:szCs w:val="28"/>
          </w:rPr>
          <w:t>пп</w:t>
        </w:r>
        <w:proofErr w:type="spellEnd"/>
        <w:r w:rsidRPr="009E6364">
          <w:rPr>
            <w:sz w:val="28"/>
            <w:szCs w:val="28"/>
          </w:rPr>
          <w:t>. «б» п. 9</w:t>
        </w:r>
      </w:hyperlink>
      <w:r w:rsidRPr="009E6364">
        <w:rPr>
          <w:sz w:val="28"/>
          <w:szCs w:val="28"/>
        </w:rPr>
        <w:t xml:space="preserve"> Федерального стандарта N 274н 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рабочий план счетов, утвержденный Учетной политикой Учреждения (Приложение № 3) содержит не все счета, применяемые в учете. В рамках проверки финансово-хозяйственной деятельности по оплате труда, в рабочем плане счетов отсутствует счет 30315.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 *В нарушение п.104 Инструкции № 162н в 2023 году суммы начисленных страховых взносов отражались по счетам бухгалтерского учета 303.02.000, 303.07.000, 303.10.000, а необходимо было использовать счет 303.15.000 «Расчеты по единому страховому тарифу». В соответствии с </w:t>
      </w:r>
      <w:hyperlink r:id="rId14" w:history="1">
        <w:r w:rsidRPr="009E6364">
          <w:rPr>
            <w:sz w:val="28"/>
            <w:szCs w:val="28"/>
          </w:rPr>
          <w:t>п. 6 статьи 431</w:t>
        </w:r>
      </w:hyperlink>
      <w:r w:rsidRPr="009E6364">
        <w:rPr>
          <w:sz w:val="28"/>
          <w:szCs w:val="28"/>
        </w:rPr>
        <w:t xml:space="preserve"> НК РФ, с 01.01.2023 года страховые взносы исчисляются по единому тарифу и уплачиваются путем внесения </w:t>
      </w:r>
      <w:hyperlink r:id="rId15" w:history="1">
        <w:r w:rsidRPr="009E6364">
          <w:rPr>
            <w:sz w:val="28"/>
            <w:szCs w:val="28"/>
          </w:rPr>
          <w:t>единого налогового платежа</w:t>
        </w:r>
      </w:hyperlink>
      <w:r w:rsidRPr="009E6364">
        <w:rPr>
          <w:sz w:val="28"/>
          <w:szCs w:val="28"/>
        </w:rPr>
        <w:t>.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*Также, в нарушение п.104 Инструкции № 162н, </w:t>
      </w:r>
      <w:hyperlink r:id="rId16" w:history="1">
        <w:r w:rsidRPr="009E6364">
          <w:rPr>
            <w:rStyle w:val="a3"/>
            <w:sz w:val="28"/>
            <w:szCs w:val="28"/>
          </w:rPr>
          <w:t>Письм</w:t>
        </w:r>
      </w:hyperlink>
      <w:r w:rsidRPr="009E6364">
        <w:rPr>
          <w:sz w:val="28"/>
          <w:szCs w:val="28"/>
        </w:rPr>
        <w:t xml:space="preserve">а Минфина России от 14.09.2023 N 02-07-10/88219, </w:t>
      </w:r>
      <w:hyperlink r:id="rId17" w:history="1">
        <w:r w:rsidRPr="009E6364">
          <w:rPr>
            <w:sz w:val="28"/>
            <w:szCs w:val="28"/>
          </w:rPr>
          <w:t>п. 1 ст. 11.3</w:t>
        </w:r>
      </w:hyperlink>
      <w:r w:rsidRPr="009E6364">
        <w:rPr>
          <w:sz w:val="28"/>
          <w:szCs w:val="28"/>
        </w:rPr>
        <w:t>, п.п.1 ст.45, п.1,7 ст.58 Налогового Кодекса РФ, при перечислении Учреждением денежных средств в счет уплаты налогов, авансовых платежей по налогам, страховых взносов и иных обязательных платежей не применялся счет бухгалтерского учета 303.14.000 «Расчеты по единому налоговому платежу».</w:t>
      </w:r>
    </w:p>
    <w:p w:rsidR="002E6B92" w:rsidRPr="009E6364" w:rsidRDefault="002E6B92" w:rsidP="002E6B92">
      <w:pPr>
        <w:pStyle w:val="a4"/>
        <w:spacing w:line="260" w:lineRule="exact"/>
        <w:ind w:left="0" w:firstLine="709"/>
        <w:jc w:val="both"/>
        <w:rPr>
          <w:rFonts w:eastAsia="Courier New"/>
          <w:color w:val="000000"/>
          <w:sz w:val="28"/>
          <w:szCs w:val="28"/>
          <w:lang w:val="ru-RU" w:eastAsia="ru-RU"/>
        </w:rPr>
      </w:pPr>
      <w:r w:rsidRPr="009E6364">
        <w:rPr>
          <w:rFonts w:eastAsia="Courier New"/>
          <w:color w:val="000000"/>
          <w:sz w:val="28"/>
          <w:szCs w:val="28"/>
          <w:lang w:val="ru-RU" w:eastAsia="ru-RU"/>
        </w:rPr>
        <w:t xml:space="preserve">*В нарушение </w:t>
      </w:r>
      <w:hyperlink r:id="rId18" w:history="1">
        <w:r w:rsidRPr="009E6364">
          <w:rPr>
            <w:color w:val="000000"/>
            <w:sz w:val="28"/>
            <w:szCs w:val="28"/>
            <w:lang w:val="ru-RU"/>
          </w:rPr>
          <w:t>п. 2</w:t>
        </w:r>
      </w:hyperlink>
      <w:r w:rsidRPr="009E6364">
        <w:rPr>
          <w:rFonts w:eastAsia="Courier New"/>
          <w:color w:val="000000"/>
          <w:sz w:val="28"/>
          <w:szCs w:val="28"/>
          <w:lang w:val="ru-RU" w:eastAsia="ru-RU"/>
        </w:rPr>
        <w:t xml:space="preserve"> Инструкции </w:t>
      </w:r>
      <w:r w:rsidRPr="009E6364">
        <w:rPr>
          <w:rFonts w:eastAsia="Courier New"/>
          <w:color w:val="000000"/>
          <w:sz w:val="28"/>
          <w:szCs w:val="28"/>
          <w:lang w:eastAsia="ru-RU"/>
        </w:rPr>
        <w:t>N</w:t>
      </w:r>
      <w:r w:rsidRPr="009E6364">
        <w:rPr>
          <w:rFonts w:eastAsia="Courier New"/>
          <w:color w:val="000000"/>
          <w:sz w:val="28"/>
          <w:szCs w:val="28"/>
          <w:lang w:val="ru-RU" w:eastAsia="ru-RU"/>
        </w:rPr>
        <w:t xml:space="preserve"> 162н, в 1 - 17 разрядах номера счета 401.30.000 «Финансовый результат прошлых отчетных периодов» отражены коды бюджетной классификации расходов, а следовало отражать нули.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*В нарушение п.10 Приказа Минфина России от 15.11.2019 N 184н «Об утверждении федерального стандарта бухгалтерского учета государственных финансов «Выплаты персоналу», </w:t>
      </w:r>
      <w:hyperlink r:id="rId19" w:history="1">
        <w:r w:rsidRPr="009E6364">
          <w:rPr>
            <w:sz w:val="28"/>
            <w:szCs w:val="28"/>
          </w:rPr>
          <w:t>п. 302</w:t>
        </w:r>
      </w:hyperlink>
      <w:r w:rsidRPr="009E6364">
        <w:rPr>
          <w:sz w:val="28"/>
          <w:szCs w:val="28"/>
        </w:rPr>
        <w:t xml:space="preserve"> Инструкции N 157н, Письма Минфина России от 16.08.2019 </w:t>
      </w:r>
      <w:hyperlink r:id="rId20" w:history="1">
        <w:r w:rsidRPr="009E6364">
          <w:rPr>
            <w:sz w:val="28"/>
            <w:szCs w:val="28"/>
          </w:rPr>
          <w:t>N 02-06-10/62943</w:t>
        </w:r>
      </w:hyperlink>
      <w:r w:rsidRPr="009E6364">
        <w:rPr>
          <w:sz w:val="28"/>
          <w:szCs w:val="28"/>
        </w:rPr>
        <w:t xml:space="preserve">, от 01.07.2016 </w:t>
      </w:r>
      <w:hyperlink r:id="rId21" w:history="1">
        <w:r w:rsidRPr="009E6364">
          <w:rPr>
            <w:sz w:val="28"/>
            <w:szCs w:val="28"/>
          </w:rPr>
          <w:t>N 02-07-05/38558</w:t>
        </w:r>
      </w:hyperlink>
      <w:r w:rsidRPr="009E6364">
        <w:rPr>
          <w:sz w:val="28"/>
          <w:szCs w:val="28"/>
        </w:rPr>
        <w:t xml:space="preserve">, от 20.06.2016 </w:t>
      </w:r>
      <w:hyperlink r:id="rId22" w:history="1">
        <w:r w:rsidRPr="009E6364">
          <w:rPr>
            <w:sz w:val="28"/>
            <w:szCs w:val="28"/>
          </w:rPr>
          <w:t>N 02-07-10/36122</w:t>
        </w:r>
      </w:hyperlink>
      <w:r w:rsidRPr="009E6364">
        <w:rPr>
          <w:sz w:val="28"/>
          <w:szCs w:val="28"/>
        </w:rPr>
        <w:t xml:space="preserve">, от 14.01.2016 </w:t>
      </w:r>
      <w:hyperlink r:id="rId23" w:history="1">
        <w:r w:rsidRPr="009E6364">
          <w:rPr>
            <w:sz w:val="28"/>
            <w:szCs w:val="28"/>
          </w:rPr>
          <w:t>N 02-07-10/604</w:t>
        </w:r>
      </w:hyperlink>
      <w:r w:rsidRPr="009E6364">
        <w:rPr>
          <w:sz w:val="28"/>
          <w:szCs w:val="28"/>
        </w:rPr>
        <w:t xml:space="preserve"> Учреждением не формировался резерв предстоящих расходов по выплатам персоналу (резерв на оплату отпусков). Операции по счету 401.60.000 отсутствуют.</w:t>
      </w:r>
    </w:p>
    <w:p w:rsidR="002E6B92" w:rsidRPr="009E6364" w:rsidRDefault="002E6B92" w:rsidP="002E6B92">
      <w:pPr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 xml:space="preserve">*В нарушение п.318 Инструкции № 157н, п. 141 Инструкции № 162н, Письма Минфина России от 26.02.2021 N 02-06-10/13655, п.3 Приложения № 6 к Учетной политике, утвержденной приказом начальника Учреждения от 09.01.2024 № 4, суммы денежных обязательств, принятых Учреждением и подлежащих исполнению, не отражались в бухгалтерском учете на счетах 502.11.000, 502.12.000.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color w:val="000000"/>
          <w:sz w:val="28"/>
          <w:szCs w:val="28"/>
        </w:rPr>
        <w:t>*В нарушение п.309,316 Инструкции № 157н, п.129,130 Инструкции № 162н, У</w:t>
      </w:r>
      <w:r w:rsidRPr="009E6364">
        <w:rPr>
          <w:sz w:val="28"/>
          <w:szCs w:val="28"/>
        </w:rPr>
        <w:t>чреждением не соблюдена методология применения плана счетов бухгалтерского учета, выразившаяся в неверном осуществлении учета на счетах санкционирования расходов. У</w:t>
      </w:r>
      <w:r w:rsidRPr="009E6364">
        <w:rPr>
          <w:color w:val="000000"/>
          <w:sz w:val="28"/>
          <w:szCs w:val="28"/>
        </w:rPr>
        <w:t xml:space="preserve">чет лимитов бюджетных обязательств по «зарплатным» КБК на </w:t>
      </w:r>
      <w:r w:rsidRPr="009E6364">
        <w:rPr>
          <w:sz w:val="28"/>
          <w:szCs w:val="28"/>
        </w:rPr>
        <w:t>текущий финансовый год, первый год, следующий за текущим и второй год, следующий за текущим, производился на группировочных счетах 501.03.000, 501.05.000, 502.01.000, 503.01.000 без разделения по финансовым периодам (501.13.000, 501.23.000,501.33.000 и т.д.).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color w:val="000000"/>
          <w:sz w:val="28"/>
          <w:szCs w:val="28"/>
        </w:rPr>
      </w:pPr>
      <w:r w:rsidRPr="009E6364">
        <w:rPr>
          <w:sz w:val="28"/>
          <w:szCs w:val="28"/>
        </w:rPr>
        <w:t>*</w:t>
      </w:r>
      <w:r w:rsidRPr="009E6364">
        <w:rPr>
          <w:color w:val="000000"/>
          <w:sz w:val="28"/>
          <w:szCs w:val="28"/>
        </w:rPr>
        <w:t xml:space="preserve"> В нарушение п. п. 309, 315 Приказа Минфина России от 01.12.2010 N 157н   п. п. 129, 130 Приказа Минфина России от 06.12.2010 N 162н, ст. 9 Федерального закона от 06.12.2011 N 402-ФЗ, в 2023 году лимиты бюджетных обязательств на 2024 и 2025 год, утвержденные бюджетной сметой на 2023 финансовый год и плановый период 2024 и 2025 годов и доведенные учреждению, не отражены в регистрах и на счетах бухгалтерского учета в 2023 году. Аналогичная ситуация и в 2024 году.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b/>
          <w:sz w:val="28"/>
          <w:szCs w:val="28"/>
        </w:rPr>
      </w:pPr>
      <w:r w:rsidRPr="009E6364">
        <w:rPr>
          <w:sz w:val="28"/>
          <w:szCs w:val="28"/>
        </w:rPr>
        <w:t>*В нарушение п.72.1 Приказа Минфина России от 28.12.2010 N 191н  раздел 3 «Обязательства финансовых годов, следующих за текущим (отчетным) финансовым годом» формы 0503128 по состоянию на 01.01.2024 года не заполнен в части лимитов бюджетных обязательств, утвержденных сметой на</w:t>
      </w:r>
      <w:r w:rsidRPr="009E6364">
        <w:rPr>
          <w:color w:val="000000"/>
          <w:sz w:val="28"/>
          <w:szCs w:val="28"/>
        </w:rPr>
        <w:t xml:space="preserve"> 2023 </w:t>
      </w:r>
      <w:r w:rsidRPr="009E6364">
        <w:rPr>
          <w:color w:val="000000"/>
          <w:sz w:val="28"/>
          <w:szCs w:val="28"/>
        </w:rPr>
        <w:lastRenderedPageBreak/>
        <w:t xml:space="preserve">финансовый год и плановый период 2024 и 2025 годов, что </w:t>
      </w:r>
      <w:r w:rsidRPr="009E6364">
        <w:rPr>
          <w:sz w:val="28"/>
          <w:szCs w:val="28"/>
        </w:rPr>
        <w:t>привело к искажению бухгалтерской отчетности, а именно гр.5 по строкам 700, 800, 810, 820</w:t>
      </w:r>
      <w:r w:rsidRPr="009E6364">
        <w:rPr>
          <w:color w:val="000000"/>
          <w:sz w:val="28"/>
          <w:szCs w:val="28"/>
        </w:rPr>
        <w:t>.</w:t>
      </w:r>
      <w:r w:rsidRPr="009E6364">
        <w:rPr>
          <w:b/>
          <w:sz w:val="28"/>
          <w:szCs w:val="28"/>
        </w:rPr>
        <w:t xml:space="preserve">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ind w:firstLine="709"/>
        <w:jc w:val="both"/>
        <w:rPr>
          <w:sz w:val="28"/>
          <w:szCs w:val="28"/>
        </w:rPr>
      </w:pPr>
      <w:r w:rsidRPr="009E6364">
        <w:rPr>
          <w:sz w:val="28"/>
          <w:szCs w:val="28"/>
        </w:rPr>
        <w:t xml:space="preserve">*В нарушение указаний Минфина от 21.01.2013 </w:t>
      </w:r>
      <w:hyperlink r:id="rId24" w:history="1">
        <w:r w:rsidRPr="009E6364">
          <w:rPr>
            <w:sz w:val="28"/>
            <w:szCs w:val="28"/>
          </w:rPr>
          <w:t>N 02-06-07/155</w:t>
        </w:r>
      </w:hyperlink>
      <w:r w:rsidRPr="009E6364">
        <w:rPr>
          <w:sz w:val="28"/>
          <w:szCs w:val="28"/>
        </w:rPr>
        <w:t xml:space="preserve">, от 25.09.2020 </w:t>
      </w:r>
      <w:hyperlink r:id="rId25" w:history="1">
        <w:r w:rsidRPr="009E6364">
          <w:rPr>
            <w:sz w:val="28"/>
            <w:szCs w:val="28"/>
          </w:rPr>
          <w:t>N 02-06-10/86916</w:t>
        </w:r>
      </w:hyperlink>
      <w:r w:rsidRPr="009E6364">
        <w:rPr>
          <w:sz w:val="28"/>
          <w:szCs w:val="28"/>
        </w:rPr>
        <w:t xml:space="preserve"> бюджетные обязательства на осуществление расходов по заработной плате не были приняты к учету единовременно в объеме доведенных ЛБО на весь год, а принимались ежемесячно.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b/>
          <w:sz w:val="28"/>
          <w:szCs w:val="28"/>
        </w:rPr>
      </w:pPr>
      <w:r w:rsidRPr="009E6364">
        <w:rPr>
          <w:sz w:val="28"/>
          <w:szCs w:val="28"/>
        </w:rPr>
        <w:tab/>
        <w:t xml:space="preserve">*В нарушение </w:t>
      </w:r>
      <w:hyperlink r:id="rId26" w:history="1">
        <w:r w:rsidRPr="009E6364">
          <w:rPr>
            <w:sz w:val="28"/>
            <w:szCs w:val="28"/>
          </w:rPr>
          <w:t>части 1 статьи 13</w:t>
        </w:r>
      </w:hyperlink>
      <w:r w:rsidRPr="009E6364">
        <w:rPr>
          <w:sz w:val="28"/>
          <w:szCs w:val="28"/>
        </w:rPr>
        <w:t xml:space="preserve"> Федерального закона от 06.12.2011 N 402-ФЗ, приказа Минфина России от 31.12.2016 N 256н, п.167 Приказа Минфина России от 28.12.2010 N 191н, Сведения по дебиторской задолженности (ф.0503169) за 2023 год не содержат показателей несмотря на то, что строки 481, 482 (увеличение/уменьшение дебиторской задолженности) формы 0503121 имеют числовое значение (87736,40 руб.) и в Главной книге Учреждения отражены обороты по увеличению и уменьшению задолженности по счетам 206.00.00 и 208.00.000 в разрезе нескольких кодов бюджетной классификации. Бухгалтерская отчетность должна составляться на основании регистров бюджетного учета и давать достоверное представление о финансовом положении субъекта отчетности на отчетную дату, финансовом результате его деятельности и движении денежных средств за отчетный период. В связи с тем, что показатели увеличения и уменьшения дебиторской задолженности не отражены в бухгалтерской отчетности за 2023 год, Учреждением допущено искажение отчетности. </w:t>
      </w:r>
    </w:p>
    <w:p w:rsidR="002E6B92" w:rsidRPr="009E6364" w:rsidRDefault="002E6B92" w:rsidP="002E6B92">
      <w:pPr>
        <w:autoSpaceDE w:val="0"/>
        <w:autoSpaceDN w:val="0"/>
        <w:adjustRightInd w:val="0"/>
        <w:spacing w:line="260" w:lineRule="exact"/>
        <w:jc w:val="both"/>
        <w:rPr>
          <w:sz w:val="28"/>
          <w:szCs w:val="28"/>
        </w:rPr>
      </w:pPr>
      <w:r w:rsidRPr="009E6364">
        <w:rPr>
          <w:sz w:val="28"/>
          <w:szCs w:val="28"/>
        </w:rPr>
        <w:tab/>
        <w:t>*</w:t>
      </w:r>
      <w:r w:rsidRPr="009E6364">
        <w:rPr>
          <w:color w:val="000000"/>
          <w:sz w:val="28"/>
          <w:szCs w:val="28"/>
        </w:rPr>
        <w:t xml:space="preserve"> В нарушение п.7</w:t>
      </w:r>
      <w:r w:rsidRPr="009E6364">
        <w:rPr>
          <w:sz w:val="28"/>
          <w:szCs w:val="28"/>
        </w:rPr>
        <w:t xml:space="preserve"> </w:t>
      </w:r>
      <w:r w:rsidRPr="009E6364">
        <w:rPr>
          <w:color w:val="000000"/>
          <w:sz w:val="28"/>
          <w:szCs w:val="28"/>
        </w:rPr>
        <w:t>Приказа Минфина России от 28.12.2010 N 191н п</w:t>
      </w:r>
      <w:r w:rsidRPr="009E6364">
        <w:rPr>
          <w:sz w:val="28"/>
          <w:szCs w:val="28"/>
        </w:rPr>
        <w:t>оказатели бюджетной отчетности</w:t>
      </w:r>
      <w:r w:rsidRPr="009E6364">
        <w:rPr>
          <w:color w:val="000000"/>
          <w:sz w:val="28"/>
          <w:szCs w:val="28"/>
        </w:rPr>
        <w:t xml:space="preserve"> по КБК 03099200001690111 в части фактических расходов по заработной плате за 2024 год не соответствуют данным Главной книги.</w:t>
      </w:r>
      <w:r w:rsidRPr="009E6364">
        <w:rPr>
          <w:sz w:val="28"/>
          <w:szCs w:val="28"/>
        </w:rPr>
        <w:t xml:space="preserve"> </w:t>
      </w:r>
    </w:p>
    <w:p w:rsidR="002E6B92" w:rsidRPr="009E6364" w:rsidRDefault="002E6B92" w:rsidP="002E6B92">
      <w:pPr>
        <w:spacing w:line="260" w:lineRule="exact"/>
        <w:ind w:firstLine="708"/>
        <w:jc w:val="both"/>
        <w:rPr>
          <w:sz w:val="28"/>
          <w:szCs w:val="28"/>
          <w:lang w:eastAsia="zh-CN"/>
        </w:rPr>
      </w:pPr>
      <w:r w:rsidRPr="009E6364">
        <w:rPr>
          <w:sz w:val="28"/>
          <w:szCs w:val="28"/>
        </w:rPr>
        <w:t>*В нарушение Приказа Минфина от 01.12.10 № 157н не отражены остатки на начало периода с февраля по декабрь 2023 г. по дебету и кредиту на следующих счетах:</w:t>
      </w:r>
      <w:r>
        <w:rPr>
          <w:sz w:val="28"/>
          <w:szCs w:val="28"/>
        </w:rPr>
        <w:t xml:space="preserve"> </w:t>
      </w:r>
      <w:r w:rsidRPr="009E6364">
        <w:rPr>
          <w:sz w:val="28"/>
          <w:szCs w:val="28"/>
        </w:rPr>
        <w:t>99200001690111 1.302.11.000</w:t>
      </w:r>
      <w:r>
        <w:rPr>
          <w:sz w:val="28"/>
          <w:szCs w:val="28"/>
        </w:rPr>
        <w:t xml:space="preserve"> и </w:t>
      </w:r>
      <w:r w:rsidRPr="009E6364">
        <w:rPr>
          <w:sz w:val="28"/>
          <w:szCs w:val="28"/>
        </w:rPr>
        <w:t>99200001690111 1.401.20.000. Обороты за период отражены нарастающим итогом по дебету и кредиту.</w:t>
      </w:r>
    </w:p>
    <w:p w:rsidR="002E6B92" w:rsidRPr="009E6364" w:rsidRDefault="002E6B92" w:rsidP="002E6B92">
      <w:pPr>
        <w:spacing w:line="260" w:lineRule="exact"/>
        <w:ind w:firstLine="709"/>
        <w:jc w:val="both"/>
        <w:rPr>
          <w:sz w:val="28"/>
          <w:szCs w:val="28"/>
          <w:lang w:eastAsia="en-US"/>
        </w:rPr>
      </w:pPr>
      <w:r w:rsidRPr="009E6364">
        <w:rPr>
          <w:sz w:val="28"/>
          <w:szCs w:val="28"/>
          <w:lang w:eastAsia="en-US"/>
        </w:rPr>
        <w:t xml:space="preserve">Приказом Комитета финансов от 24.03.2025 № 21 принято решение о вынесении </w:t>
      </w:r>
      <w:bookmarkStart w:id="1" w:name="_Hlk114577369"/>
      <w:r w:rsidRPr="009E6364">
        <w:rPr>
          <w:rFonts w:eastAsia="Calibri"/>
          <w:sz w:val="28"/>
          <w:szCs w:val="28"/>
          <w:lang w:eastAsia="zh-CN"/>
        </w:rPr>
        <w:t>МКУ «Управление ГОЧС Боровичского муниципального района»</w:t>
      </w:r>
      <w:bookmarkEnd w:id="1"/>
      <w:r w:rsidRPr="009E6364">
        <w:rPr>
          <w:sz w:val="28"/>
          <w:szCs w:val="28"/>
        </w:rPr>
        <w:t xml:space="preserve"> </w:t>
      </w:r>
      <w:r w:rsidRPr="009E6364">
        <w:rPr>
          <w:sz w:val="28"/>
          <w:szCs w:val="28"/>
          <w:lang w:eastAsia="en-US"/>
        </w:rPr>
        <w:t>Предписания о возмещении ущерба бюджету Боровичского муниципального района и Представления об устранении нарушений. Установлен единый срок исполнения Предписания и Представления – до 01 мая 2025 года.</w:t>
      </w:r>
    </w:p>
    <w:p w:rsidR="002E6B92" w:rsidRDefault="002E6B92" w:rsidP="002E6B92">
      <w:pPr>
        <w:jc w:val="center"/>
      </w:pPr>
      <w:r>
        <w:t>_____________________________</w:t>
      </w:r>
      <w:bookmarkStart w:id="2" w:name="_GoBack"/>
      <w:bookmarkEnd w:id="2"/>
      <w:r>
        <w:t>_____________</w:t>
      </w:r>
    </w:p>
    <w:sectPr w:rsidR="002E6B92" w:rsidSect="00E00641">
      <w:pgSz w:w="11906" w:h="16838" w:code="9"/>
      <w:pgMar w:top="907" w:right="567" w:bottom="794" w:left="1531" w:header="51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92"/>
    <w:rsid w:val="002E6B92"/>
    <w:rsid w:val="00411C5D"/>
    <w:rsid w:val="00E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E335"/>
  <w15:chartTrackingRefBased/>
  <w15:docId w15:val="{BD32247F-71B6-4746-AB13-C392CCB4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6B92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2E6B92"/>
    <w:pPr>
      <w:widowControl w:val="0"/>
      <w:autoSpaceDE w:val="0"/>
      <w:autoSpaceDN w:val="0"/>
      <w:ind w:left="210" w:hanging="425"/>
    </w:pPr>
    <w:rPr>
      <w:sz w:val="22"/>
      <w:szCs w:val="22"/>
      <w:lang w:val="en-US" w:eastAsia="en-US"/>
    </w:rPr>
  </w:style>
  <w:style w:type="character" w:customStyle="1" w:styleId="qaanswerbody">
    <w:name w:val="qa__answerbody"/>
    <w:rsid w:val="002E6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520&amp;dst=8595" TargetMode="External"/><Relationship Id="rId13" Type="http://schemas.openxmlformats.org/officeDocument/2006/relationships/hyperlink" Target="https://login.consultant.ru/link/?req=doc&amp;base=LAW&amp;n=464999&amp;dst=100046" TargetMode="External"/><Relationship Id="rId18" Type="http://schemas.openxmlformats.org/officeDocument/2006/relationships/hyperlink" Target="https://login.consultant.ru/link/?req=doc&amp;base=LAW&amp;n=448974&amp;dst=1240" TargetMode="External"/><Relationship Id="rId26" Type="http://schemas.openxmlformats.org/officeDocument/2006/relationships/hyperlink" Target="https://login.consultant.ru/link/?req=doc&amp;base=LAW&amp;n=464181&amp;dst=10033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QSBO&amp;n=14525&amp;dst=100016" TargetMode="External"/><Relationship Id="rId7" Type="http://schemas.openxmlformats.org/officeDocument/2006/relationships/hyperlink" Target="https://login.consultant.ru/link/?req=doc&amp;base=LAW&amp;n=493279&amp;dst=533" TargetMode="External"/><Relationship Id="rId12" Type="http://schemas.openxmlformats.org/officeDocument/2006/relationships/hyperlink" Target="https://login.consultant.ru/link/?req=doc&amp;base=LAW&amp;n=460116&amp;dst=27" TargetMode="External"/><Relationship Id="rId17" Type="http://schemas.openxmlformats.org/officeDocument/2006/relationships/hyperlink" Target="https://login.consultant.ru/link/?req=doc&amp;base=LAW&amp;n=466838&amp;dst=5589" TargetMode="External"/><Relationship Id="rId25" Type="http://schemas.openxmlformats.org/officeDocument/2006/relationships/hyperlink" Target="https://login.consultant.ru/link/?req=doc&amp;base=QSBO&amp;n=21546&amp;dst=100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QSBO&amp;n=24389&amp;dst=100010" TargetMode="External"/><Relationship Id="rId20" Type="http://schemas.openxmlformats.org/officeDocument/2006/relationships/hyperlink" Target="https://login.consultant.ru/link/?req=doc&amp;base=QSBO&amp;n=1966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79&amp;dst=532" TargetMode="External"/><Relationship Id="rId11" Type="http://schemas.openxmlformats.org/officeDocument/2006/relationships/hyperlink" Target="https://login.consultant.ru/link/?req=doc&amp;base=LAW&amp;n=301969&amp;dst=100078" TargetMode="External"/><Relationship Id="rId24" Type="http://schemas.openxmlformats.org/officeDocument/2006/relationships/hyperlink" Target="https://login.consultant.ru/link/?req=doc&amp;base=LAW&amp;n=141116&amp;dst=100007" TargetMode="External"/><Relationship Id="rId5" Type="http://schemas.openxmlformats.org/officeDocument/2006/relationships/hyperlink" Target="https://login.consultant.ru/link/?req=doc&amp;base=LAW&amp;n=469771&amp;dst=640" TargetMode="External"/><Relationship Id="rId15" Type="http://schemas.openxmlformats.org/officeDocument/2006/relationships/hyperlink" Target="https://login.consultant.ru/link/?req=doc&amp;base=LAW&amp;n=466838&amp;dst=5589" TargetMode="External"/><Relationship Id="rId23" Type="http://schemas.openxmlformats.org/officeDocument/2006/relationships/hyperlink" Target="https://login.consultant.ru/link/?req=doc&amp;base=QSBO&amp;n=1216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0120&amp;dst=100687" TargetMode="External"/><Relationship Id="rId19" Type="http://schemas.openxmlformats.org/officeDocument/2006/relationships/hyperlink" Target="https://login.consultant.ru/link/?req=doc&amp;base=LAW&amp;n=450185&amp;dst=278" TargetMode="External"/><Relationship Id="rId4" Type="http://schemas.openxmlformats.org/officeDocument/2006/relationships/hyperlink" Target="https://login.consultant.ru/link/?req=doc&amp;base=LAW&amp;n=146132&amp;dst=655" TargetMode="External"/><Relationship Id="rId9" Type="http://schemas.openxmlformats.org/officeDocument/2006/relationships/hyperlink" Target="https://login.consultant.ru/link/?req=doc&amp;base=LAW&amp;n=466790&amp;dst=103640" TargetMode="External"/><Relationship Id="rId14" Type="http://schemas.openxmlformats.org/officeDocument/2006/relationships/hyperlink" Target="https://login.consultant.ru/link/?req=doc&amp;base=LAW&amp;n=493219&amp;dst=24328" TargetMode="External"/><Relationship Id="rId22" Type="http://schemas.openxmlformats.org/officeDocument/2006/relationships/hyperlink" Target="https://login.consultant.ru/link/?req=doc&amp;base=QSBO&amp;n=14410&amp;dst=10001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3419</Words>
  <Characters>19493</Characters>
  <Application>Microsoft Office Word</Application>
  <DocSecurity>0</DocSecurity>
  <Lines>162</Lines>
  <Paragraphs>45</Paragraphs>
  <ScaleCrop>false</ScaleCrop>
  <Company/>
  <LinksUpToDate>false</LinksUpToDate>
  <CharactersWithSpaces>22867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Силантьева</dc:creator>
  <cp:keywords/>
  <dc:description/>
  <cp:lastModifiedBy>Виктория Владимировна Силантьева</cp:lastModifiedBy>
  <cp:revision>1</cp:revision>
  <dcterms:created xsi:type="dcterms:W3CDTF">2025-03-27T11:43:00Z</dcterms:created>
  <dcterms:modified xsi:type="dcterms:W3CDTF">2025-03-27T11:49:00Z</dcterms:modified>
</cp:coreProperties>
</file>