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0BC" w:rsidRPr="00F817DC" w:rsidRDefault="007C70BC" w:rsidP="003B1151">
      <w:pPr>
        <w:spacing w:line="250" w:lineRule="exact"/>
        <w:jc w:val="center"/>
        <w:rPr>
          <w:b/>
          <w:sz w:val="28"/>
          <w:szCs w:val="28"/>
        </w:rPr>
      </w:pPr>
      <w:r w:rsidRPr="00F817DC">
        <w:rPr>
          <w:b/>
          <w:sz w:val="28"/>
          <w:szCs w:val="28"/>
        </w:rPr>
        <w:t>Информация о результатах плановой</w:t>
      </w:r>
      <w:r w:rsidR="00D0055F" w:rsidRPr="00F817DC">
        <w:rPr>
          <w:b/>
          <w:sz w:val="28"/>
          <w:szCs w:val="28"/>
        </w:rPr>
        <w:t xml:space="preserve"> проверки</w:t>
      </w:r>
      <w:r w:rsidRPr="00F817DC">
        <w:rPr>
          <w:b/>
          <w:sz w:val="28"/>
          <w:szCs w:val="28"/>
        </w:rPr>
        <w:t xml:space="preserve"> в </w:t>
      </w:r>
      <w:r w:rsidR="003B1151" w:rsidRPr="00F817DC">
        <w:rPr>
          <w:b/>
          <w:sz w:val="28"/>
          <w:szCs w:val="28"/>
        </w:rPr>
        <w:t xml:space="preserve">финансово-бюджетной сфере </w:t>
      </w:r>
      <w:r w:rsidR="003B1151" w:rsidRPr="00F817DC">
        <w:rPr>
          <w:b/>
          <w:sz w:val="28"/>
          <w:szCs w:val="28"/>
          <w:lang w:eastAsia="en-US"/>
        </w:rPr>
        <w:t xml:space="preserve">в </w:t>
      </w:r>
      <w:r w:rsidR="00A94722" w:rsidRPr="00F817DC">
        <w:rPr>
          <w:b/>
          <w:sz w:val="28"/>
          <w:szCs w:val="28"/>
        </w:rPr>
        <w:t>М</w:t>
      </w:r>
      <w:r w:rsidR="00F817DC" w:rsidRPr="00F817DC">
        <w:rPr>
          <w:b/>
          <w:sz w:val="28"/>
          <w:szCs w:val="28"/>
        </w:rPr>
        <w:t>К</w:t>
      </w:r>
      <w:r w:rsidR="00A94722" w:rsidRPr="00F817DC">
        <w:rPr>
          <w:b/>
          <w:sz w:val="28"/>
          <w:szCs w:val="28"/>
        </w:rPr>
        <w:t>У «</w:t>
      </w:r>
      <w:r w:rsidR="00F817DC" w:rsidRPr="00F817DC">
        <w:rPr>
          <w:b/>
          <w:sz w:val="28"/>
          <w:szCs w:val="28"/>
        </w:rPr>
        <w:t>Центр финансово-методического обслуживания</w:t>
      </w:r>
      <w:r w:rsidR="00A94722" w:rsidRPr="00F817DC">
        <w:rPr>
          <w:b/>
          <w:sz w:val="28"/>
          <w:szCs w:val="28"/>
        </w:rPr>
        <w:t>»</w:t>
      </w:r>
    </w:p>
    <w:p w:rsidR="003B1151" w:rsidRDefault="003B1151" w:rsidP="00785F13">
      <w:pPr>
        <w:widowControl w:val="0"/>
        <w:autoSpaceDE w:val="0"/>
        <w:autoSpaceDN w:val="0"/>
        <w:adjustRightInd w:val="0"/>
        <w:spacing w:line="260" w:lineRule="exact"/>
        <w:ind w:firstLine="680"/>
        <w:jc w:val="both"/>
        <w:rPr>
          <w:sz w:val="25"/>
          <w:szCs w:val="25"/>
          <w:lang w:eastAsia="en-US"/>
        </w:rPr>
      </w:pPr>
    </w:p>
    <w:p w:rsidR="00F817DC" w:rsidRPr="000D2B9B" w:rsidRDefault="00F817DC" w:rsidP="00F817DC">
      <w:pPr>
        <w:spacing w:line="270" w:lineRule="exact"/>
        <w:ind w:firstLine="708"/>
        <w:jc w:val="both"/>
        <w:rPr>
          <w:sz w:val="28"/>
          <w:szCs w:val="28"/>
        </w:rPr>
      </w:pPr>
      <w:r w:rsidRPr="00911FE9">
        <w:rPr>
          <w:sz w:val="26"/>
          <w:szCs w:val="26"/>
          <w:lang w:eastAsia="en-US"/>
        </w:rPr>
        <w:t xml:space="preserve">Комитетом финансов Администрации Боровичского муниципального района проведена плановая проверка </w:t>
      </w:r>
      <w:r w:rsidRPr="00911FE9">
        <w:rPr>
          <w:sz w:val="26"/>
          <w:szCs w:val="26"/>
        </w:rPr>
        <w:t xml:space="preserve">в финансово-бюджетной сфере в </w:t>
      </w:r>
      <w:r w:rsidRPr="00F31FF6">
        <w:rPr>
          <w:b/>
          <w:sz w:val="26"/>
          <w:szCs w:val="26"/>
        </w:rPr>
        <w:t>Муниципальном казенном учреждении «Центр финансово-методического обслуживания»</w:t>
      </w:r>
      <w:r w:rsidRPr="00A04BEA">
        <w:rPr>
          <w:b/>
          <w:sz w:val="28"/>
          <w:szCs w:val="28"/>
        </w:rPr>
        <w:t xml:space="preserve"> </w:t>
      </w:r>
      <w:r w:rsidRPr="00911FE9">
        <w:rPr>
          <w:sz w:val="26"/>
          <w:szCs w:val="26"/>
          <w:lang w:eastAsia="en-US"/>
        </w:rPr>
        <w:t>(далее – Учреждение</w:t>
      </w:r>
      <w:r>
        <w:rPr>
          <w:sz w:val="26"/>
          <w:szCs w:val="26"/>
          <w:lang w:eastAsia="en-US"/>
        </w:rPr>
        <w:t>, ЦФМО</w:t>
      </w:r>
      <w:r w:rsidRPr="00911FE9">
        <w:rPr>
          <w:sz w:val="26"/>
          <w:szCs w:val="26"/>
          <w:lang w:eastAsia="en-US"/>
        </w:rPr>
        <w:t xml:space="preserve">) за проверяемый период с </w:t>
      </w:r>
      <w:r w:rsidRPr="00911FE9">
        <w:rPr>
          <w:sz w:val="26"/>
          <w:szCs w:val="26"/>
        </w:rPr>
        <w:t xml:space="preserve">01 января 2023г. по </w:t>
      </w:r>
      <w:r>
        <w:rPr>
          <w:sz w:val="26"/>
          <w:szCs w:val="26"/>
        </w:rPr>
        <w:t>29</w:t>
      </w:r>
      <w:r w:rsidRPr="00911FE9">
        <w:rPr>
          <w:sz w:val="26"/>
          <w:szCs w:val="26"/>
        </w:rPr>
        <w:t xml:space="preserve"> </w:t>
      </w:r>
      <w:r>
        <w:rPr>
          <w:sz w:val="26"/>
          <w:szCs w:val="26"/>
        </w:rPr>
        <w:t>февраля</w:t>
      </w:r>
      <w:r w:rsidRPr="00911FE9">
        <w:rPr>
          <w:sz w:val="26"/>
          <w:szCs w:val="26"/>
        </w:rPr>
        <w:t xml:space="preserve"> 2024г. </w:t>
      </w:r>
      <w:r w:rsidRPr="00911FE9">
        <w:rPr>
          <w:sz w:val="26"/>
          <w:szCs w:val="26"/>
          <w:lang w:eastAsia="en-US"/>
        </w:rPr>
        <w:t>по теме</w:t>
      </w:r>
      <w:r>
        <w:rPr>
          <w:sz w:val="26"/>
          <w:szCs w:val="26"/>
          <w:lang w:eastAsia="en-US"/>
        </w:rPr>
        <w:t xml:space="preserve">: </w:t>
      </w:r>
      <w:r w:rsidRPr="000D2B9B">
        <w:rPr>
          <w:sz w:val="26"/>
          <w:szCs w:val="26"/>
        </w:rPr>
        <w:t>«Проверка финансово-хозяйственной деятельности муниципального учреждения по вопросам эффективности расходования фонда оплаты труда»</w:t>
      </w:r>
      <w:r>
        <w:rPr>
          <w:sz w:val="28"/>
          <w:szCs w:val="28"/>
        </w:rPr>
        <w:t xml:space="preserve"> </w:t>
      </w:r>
      <w:r w:rsidRPr="00911FE9">
        <w:rPr>
          <w:sz w:val="26"/>
          <w:szCs w:val="26"/>
          <w:lang w:eastAsia="en-US"/>
        </w:rPr>
        <w:t xml:space="preserve">(Акт от </w:t>
      </w:r>
      <w:r>
        <w:rPr>
          <w:sz w:val="26"/>
          <w:szCs w:val="26"/>
          <w:lang w:eastAsia="en-US"/>
        </w:rPr>
        <w:t>23</w:t>
      </w:r>
      <w:r w:rsidRPr="00911FE9">
        <w:rPr>
          <w:sz w:val="26"/>
          <w:szCs w:val="26"/>
          <w:lang w:eastAsia="en-US"/>
        </w:rPr>
        <w:t>.0</w:t>
      </w:r>
      <w:r>
        <w:rPr>
          <w:sz w:val="26"/>
          <w:szCs w:val="26"/>
          <w:lang w:eastAsia="en-US"/>
        </w:rPr>
        <w:t>4</w:t>
      </w:r>
      <w:r w:rsidRPr="00911FE9">
        <w:rPr>
          <w:sz w:val="26"/>
          <w:szCs w:val="26"/>
          <w:lang w:eastAsia="en-US"/>
        </w:rPr>
        <w:t>.2024г.).</w:t>
      </w:r>
    </w:p>
    <w:p w:rsidR="00F817DC" w:rsidRPr="00F31FF6" w:rsidRDefault="00F817DC" w:rsidP="00F817DC">
      <w:pPr>
        <w:spacing w:line="270" w:lineRule="exact"/>
        <w:ind w:firstLine="709"/>
        <w:jc w:val="both"/>
        <w:rPr>
          <w:sz w:val="26"/>
          <w:szCs w:val="26"/>
        </w:rPr>
      </w:pPr>
      <w:r w:rsidRPr="00F31FF6">
        <w:rPr>
          <w:sz w:val="26"/>
          <w:szCs w:val="26"/>
        </w:rPr>
        <w:t xml:space="preserve">В ходе плановой камеральной проверки установлены нарушения Трудового кодекса РФ, Федерального закона от 06.12.2011 N 402-ФЗ «О бухгалтерском учете», муниципальных правовых актов в сфере оплаты труда и финансового планирования, а также иные недостатки ведения финансово-хозяйственной деятельности при исполнении бюджета Боровичского муниципального района. </w:t>
      </w:r>
    </w:p>
    <w:p w:rsidR="00F817DC" w:rsidRPr="00F31FF6" w:rsidRDefault="00F817DC" w:rsidP="00F817DC">
      <w:pPr>
        <w:spacing w:line="270" w:lineRule="exact"/>
        <w:jc w:val="both"/>
        <w:rPr>
          <w:i/>
          <w:sz w:val="26"/>
          <w:szCs w:val="26"/>
        </w:rPr>
      </w:pPr>
      <w:r w:rsidRPr="00F31FF6">
        <w:rPr>
          <w:sz w:val="26"/>
          <w:szCs w:val="26"/>
        </w:rPr>
        <w:tab/>
      </w:r>
      <w:r w:rsidRPr="00F31FF6">
        <w:rPr>
          <w:i/>
          <w:sz w:val="26"/>
          <w:szCs w:val="26"/>
        </w:rPr>
        <w:t xml:space="preserve">По вопросу «Целевое использование бюджетных средств, правомерность и эффективность их расходования на заработную плату работников учреждения» среди основных нарушений следующие: </w:t>
      </w:r>
    </w:p>
    <w:p w:rsidR="00F817DC" w:rsidRPr="00F31FF6" w:rsidRDefault="00F817DC" w:rsidP="00F817DC">
      <w:pPr>
        <w:spacing w:line="270" w:lineRule="exact"/>
        <w:ind w:firstLine="709"/>
        <w:jc w:val="both"/>
        <w:rPr>
          <w:sz w:val="26"/>
          <w:szCs w:val="26"/>
        </w:rPr>
      </w:pPr>
      <w:r w:rsidRPr="00F31FF6">
        <w:rPr>
          <w:sz w:val="26"/>
          <w:szCs w:val="26"/>
        </w:rPr>
        <w:t>√ Положение об оплате труда работников МКУ «ЦФМО» не утверждено муниципальным правовым актом Администрации БМР – в нарушение пункта 2 Положения о системе оплаты труда работников муниципальных (бюджетных, автономных и казенных) учреждений Боровичского муниципального района, утв. постановлением Администрации БМР от 29.04.2019 № 1195 (далее – Положение о системе оплаты труда в муниципальных учреждениях № 1195).</w:t>
      </w:r>
    </w:p>
    <w:p w:rsidR="00F817DC" w:rsidRDefault="00F817DC" w:rsidP="00F817DC">
      <w:pPr>
        <w:autoSpaceDE w:val="0"/>
        <w:autoSpaceDN w:val="0"/>
        <w:adjustRightInd w:val="0"/>
        <w:spacing w:line="270" w:lineRule="exact"/>
        <w:ind w:firstLine="540"/>
        <w:jc w:val="both"/>
        <w:rPr>
          <w:sz w:val="26"/>
          <w:szCs w:val="26"/>
        </w:rPr>
      </w:pPr>
      <w:r w:rsidRPr="00F31FF6">
        <w:rPr>
          <w:sz w:val="26"/>
          <w:szCs w:val="26"/>
        </w:rPr>
        <w:tab/>
        <w:t>* В предоставленных Карточках-справках (ф.0504417) за 2023 год сведения об использовании отпусков по некоторым работникам заполнены не в полном объеме: не указано количество дней дополнительного отпуска за ненормированный рабочий день по водителям – в нарушение Приказа Минфина России от 30.03.2015 N 52н «Об утверждении форм первичных учетных документов и регистров бухгалтерского учета».</w:t>
      </w:r>
    </w:p>
    <w:p w:rsidR="00F817DC" w:rsidRPr="00F31FF6" w:rsidRDefault="00F817DC" w:rsidP="00F817DC">
      <w:pPr>
        <w:spacing w:line="270" w:lineRule="exact"/>
        <w:ind w:firstLine="709"/>
        <w:jc w:val="both"/>
        <w:rPr>
          <w:sz w:val="26"/>
          <w:szCs w:val="26"/>
        </w:rPr>
      </w:pPr>
      <w:r w:rsidRPr="00F31FF6">
        <w:rPr>
          <w:sz w:val="26"/>
          <w:szCs w:val="26"/>
        </w:rPr>
        <w:t>* Штатные расписания от 31.10.2023 г. и от 28.12.2023 г. в Комитет финансов для прохождения процедуры согласования не направлялись – в нарушение пункта 20 Положения о системе оплаты труда в муниципальных учреждениях № 1195.</w:t>
      </w:r>
    </w:p>
    <w:p w:rsidR="00F817DC" w:rsidRPr="00F31FF6" w:rsidRDefault="00F817DC" w:rsidP="00F817DC">
      <w:pPr>
        <w:pStyle w:val="a3"/>
        <w:shd w:val="clear" w:color="auto" w:fill="FFFFFF"/>
        <w:spacing w:line="270" w:lineRule="exact"/>
        <w:ind w:left="0"/>
        <w:jc w:val="both"/>
        <w:rPr>
          <w:sz w:val="26"/>
          <w:szCs w:val="26"/>
        </w:rPr>
      </w:pPr>
      <w:r w:rsidRPr="00F31FF6">
        <w:rPr>
          <w:sz w:val="26"/>
          <w:szCs w:val="26"/>
        </w:rPr>
        <w:tab/>
        <w:t>* Доплаты за обязанности вакантных должностей производятся в Учреждении в течение длительного периода, что указывает на возможность исполнения данных обязанностей сотрудниками в течение рабочего времени без ущерба для основной работы.</w:t>
      </w:r>
    </w:p>
    <w:p w:rsidR="00F817DC" w:rsidRPr="00F31FF6" w:rsidRDefault="00F817DC" w:rsidP="00F817DC">
      <w:pPr>
        <w:pStyle w:val="a3"/>
        <w:shd w:val="clear" w:color="auto" w:fill="FFFFFF"/>
        <w:spacing w:line="270" w:lineRule="exact"/>
        <w:ind w:left="0"/>
        <w:jc w:val="both"/>
        <w:rPr>
          <w:sz w:val="26"/>
          <w:szCs w:val="26"/>
        </w:rPr>
      </w:pPr>
      <w:r w:rsidRPr="00F31FF6">
        <w:rPr>
          <w:sz w:val="26"/>
          <w:szCs w:val="26"/>
        </w:rPr>
        <w:tab/>
        <w:t xml:space="preserve">* Среднедневной заработок главного бухгалтера (с 01.10.2023 – без включения доплат за совмещение) превысил среднедневной заработок директора – в нарушение пункта 12.1 (абз.2) Положения о системе оплаты труда в муниципальных учреждениях № 1195. </w:t>
      </w:r>
    </w:p>
    <w:p w:rsidR="00F817DC" w:rsidRPr="00F31FF6" w:rsidRDefault="00F817DC" w:rsidP="00F817DC">
      <w:pPr>
        <w:pStyle w:val="a3"/>
        <w:shd w:val="clear" w:color="auto" w:fill="FFFFFF"/>
        <w:spacing w:line="270" w:lineRule="exact"/>
        <w:ind w:left="0"/>
        <w:jc w:val="both"/>
        <w:rPr>
          <w:sz w:val="26"/>
          <w:szCs w:val="26"/>
        </w:rPr>
      </w:pPr>
      <w:r w:rsidRPr="00F31FF6">
        <w:rPr>
          <w:sz w:val="26"/>
          <w:szCs w:val="26"/>
        </w:rPr>
        <w:tab/>
        <w:t>* По табелю учета использования рабочего времени за июль 2023 года работник отработал месяц по трем должностям (сторож, уборщица, сторож) общее количество отработанных часов за июль месяц составило 454 ч., то есть еженедельный непрерывный отдых (выходные) на протяжении почти всего июля месяца 2023 г. отсутствует – в нарушение части 1 статьи 100 и статьи 107 Трудового кодекса РФ.</w:t>
      </w:r>
    </w:p>
    <w:p w:rsidR="00F817DC" w:rsidRPr="00F31FF6" w:rsidRDefault="00F817DC" w:rsidP="00F817DC">
      <w:pPr>
        <w:pStyle w:val="ConsPlusNormal"/>
        <w:spacing w:line="270" w:lineRule="exact"/>
        <w:ind w:firstLine="709"/>
        <w:jc w:val="both"/>
        <w:rPr>
          <w:rFonts w:ascii="Times New Roman" w:hAnsi="Times New Roman" w:cs="Times New Roman"/>
          <w:color w:val="000000"/>
          <w:spacing w:val="3"/>
          <w:sz w:val="26"/>
          <w:szCs w:val="26"/>
        </w:rPr>
      </w:pPr>
      <w:r w:rsidRPr="00F31FF6">
        <w:rPr>
          <w:rFonts w:ascii="Times New Roman" w:hAnsi="Times New Roman" w:cs="Times New Roman"/>
          <w:sz w:val="26"/>
          <w:szCs w:val="26"/>
        </w:rPr>
        <w:t>Имеются признаки административного правонарушения по основанию части 1 статьи 5.27 Кодекса Российской Федерации об административных правонарушениях</w:t>
      </w:r>
      <w:r w:rsidRPr="00F31FF6">
        <w:rPr>
          <w:rFonts w:ascii="Times New Roman" w:hAnsi="Times New Roman" w:cs="Times New Roman"/>
          <w:color w:val="000000"/>
          <w:spacing w:val="3"/>
          <w:sz w:val="26"/>
          <w:szCs w:val="26"/>
        </w:rPr>
        <w:t>.</w:t>
      </w:r>
    </w:p>
    <w:p w:rsidR="00F817DC" w:rsidRPr="00F31FF6" w:rsidRDefault="00F817DC" w:rsidP="00F817DC">
      <w:pPr>
        <w:spacing w:line="270" w:lineRule="exact"/>
        <w:ind w:firstLine="709"/>
        <w:jc w:val="both"/>
        <w:rPr>
          <w:sz w:val="26"/>
          <w:szCs w:val="26"/>
        </w:rPr>
      </w:pPr>
      <w:r w:rsidRPr="00F31FF6">
        <w:rPr>
          <w:sz w:val="26"/>
          <w:szCs w:val="26"/>
        </w:rPr>
        <w:t>* По некоторым работникам, выполняющим дополнительную работу на условиях совместительства на период ежегодных оплачиваемых отпусков  в дополнительных соглашениях к трудовым договорам не указан режим работы – в нарушение статьи 57 Трудового кодекса РФ;  не указан размер доплаты за исполнение обязанностей временно отсутствующего работника – в нарушение части 1 статьи 60.2, статьи 151 Трудового кодекса РФ.</w:t>
      </w:r>
    </w:p>
    <w:p w:rsidR="00F817DC" w:rsidRPr="00F31FF6" w:rsidRDefault="00F817DC" w:rsidP="00F817DC">
      <w:pPr>
        <w:spacing w:line="270" w:lineRule="exact"/>
        <w:ind w:firstLine="709"/>
        <w:jc w:val="both"/>
        <w:rPr>
          <w:sz w:val="26"/>
          <w:szCs w:val="26"/>
        </w:rPr>
      </w:pPr>
      <w:r w:rsidRPr="00F31FF6">
        <w:rPr>
          <w:sz w:val="26"/>
          <w:szCs w:val="26"/>
        </w:rPr>
        <w:t>* В некоторых должностных инструкциях по должностям/профессиям отсутствуют подписи сотрудников в ознакомлении с инструкцией – в нарушение статьи 22 Трудового кодекса РФ.</w:t>
      </w:r>
    </w:p>
    <w:p w:rsidR="00F817DC" w:rsidRPr="00F31FF6" w:rsidRDefault="00F817DC" w:rsidP="00F817DC">
      <w:pPr>
        <w:pStyle w:val="a3"/>
        <w:spacing w:line="270" w:lineRule="exact"/>
        <w:ind w:left="0"/>
        <w:jc w:val="both"/>
        <w:rPr>
          <w:sz w:val="26"/>
          <w:szCs w:val="26"/>
        </w:rPr>
      </w:pPr>
      <w:r w:rsidRPr="00F31FF6">
        <w:rPr>
          <w:sz w:val="26"/>
          <w:szCs w:val="26"/>
        </w:rPr>
        <w:lastRenderedPageBreak/>
        <w:tab/>
        <w:t xml:space="preserve">По должностным инструкциям сотрудников в большинстве случаев не указано по каким обслуживаемым учреждениям должны осуществляться обязанности, функции дублируются. </w:t>
      </w:r>
    </w:p>
    <w:p w:rsidR="00F817DC" w:rsidRPr="001E392E" w:rsidRDefault="00F817DC" w:rsidP="00F817DC">
      <w:pPr>
        <w:spacing w:line="270" w:lineRule="exact"/>
        <w:ind w:firstLine="709"/>
        <w:jc w:val="both"/>
        <w:rPr>
          <w:color w:val="000000"/>
          <w:spacing w:val="3"/>
          <w:sz w:val="28"/>
          <w:szCs w:val="28"/>
        </w:rPr>
      </w:pPr>
      <w:r w:rsidRPr="00F31FF6">
        <w:rPr>
          <w:sz w:val="26"/>
          <w:szCs w:val="26"/>
        </w:rPr>
        <w:t xml:space="preserve"> * При выборочной</w:t>
      </w:r>
      <w:r w:rsidRPr="00F31FF6">
        <w:rPr>
          <w:color w:val="000000"/>
          <w:spacing w:val="3"/>
          <w:sz w:val="26"/>
          <w:szCs w:val="26"/>
        </w:rPr>
        <w:t xml:space="preserve"> проверке наличия обязательных реквизитов в регистрах бухгалтерского учета установлено, что отсутствует наименование должности исполнителя в журнале операций № 6 расчетов по оплате труда, денежному довольствию и стипендиям (ф. 0504071) за январь 2023г. – в нарушение пункта 4 статьи 10 Федерального закона от 06.12.2011 N 402-ФЗ «О бухгалтерском учете».</w:t>
      </w:r>
      <w:r>
        <w:rPr>
          <w:color w:val="000000"/>
          <w:spacing w:val="3"/>
          <w:sz w:val="28"/>
          <w:szCs w:val="28"/>
        </w:rPr>
        <w:t xml:space="preserve"> </w:t>
      </w:r>
    </w:p>
    <w:p w:rsidR="00F817DC" w:rsidRPr="00911FE9" w:rsidRDefault="00F817DC" w:rsidP="00F817DC">
      <w:pPr>
        <w:widowControl w:val="0"/>
        <w:autoSpaceDE w:val="0"/>
        <w:autoSpaceDN w:val="0"/>
        <w:adjustRightInd w:val="0"/>
        <w:spacing w:line="260" w:lineRule="exact"/>
        <w:ind w:firstLine="680"/>
        <w:jc w:val="both"/>
        <w:rPr>
          <w:sz w:val="26"/>
          <w:szCs w:val="26"/>
          <w:lang w:eastAsia="en-US"/>
        </w:rPr>
      </w:pPr>
    </w:p>
    <w:p w:rsidR="00F817DC" w:rsidRDefault="00F817DC" w:rsidP="00F817DC">
      <w:pPr>
        <w:jc w:val="both"/>
        <w:rPr>
          <w:sz w:val="26"/>
          <w:szCs w:val="26"/>
          <w:lang w:eastAsia="en-US"/>
        </w:rPr>
      </w:pPr>
      <w:r w:rsidRPr="00911FE9">
        <w:rPr>
          <w:sz w:val="26"/>
          <w:szCs w:val="26"/>
          <w:lang w:eastAsia="en-US"/>
        </w:rPr>
        <w:tab/>
      </w:r>
      <w:r w:rsidRPr="00ED5E9B">
        <w:rPr>
          <w:sz w:val="26"/>
          <w:szCs w:val="26"/>
          <w:lang w:eastAsia="en-US"/>
        </w:rPr>
        <w:t xml:space="preserve">Приказом Комитета финансов от 21.05.2024 № 22 принято решение о вынесении </w:t>
      </w:r>
      <w:r w:rsidRPr="00ED5E9B">
        <w:rPr>
          <w:sz w:val="26"/>
          <w:szCs w:val="26"/>
        </w:rPr>
        <w:t xml:space="preserve">МКУ «Центр финансово-методического обслуживания» </w:t>
      </w:r>
      <w:r w:rsidRPr="00ED5E9B">
        <w:rPr>
          <w:sz w:val="26"/>
          <w:szCs w:val="26"/>
          <w:lang w:eastAsia="en-US"/>
        </w:rPr>
        <w:t>Представления об устранении нарушений и принятии мер по устранению причин и условий нарушений (в срок до 15 июля 2024г.</w:t>
      </w:r>
      <w:r w:rsidRPr="00911FE9">
        <w:rPr>
          <w:sz w:val="26"/>
          <w:szCs w:val="26"/>
          <w:lang w:eastAsia="en-US"/>
        </w:rPr>
        <w:t>).</w:t>
      </w:r>
    </w:p>
    <w:p w:rsidR="00C96C34" w:rsidRDefault="007C70BC" w:rsidP="00F817DC">
      <w:pPr>
        <w:jc w:val="center"/>
        <w:rPr>
          <w:sz w:val="20"/>
          <w:szCs w:val="20"/>
        </w:rPr>
      </w:pPr>
      <w:bookmarkStart w:id="0" w:name="_GoBack"/>
      <w:bookmarkEnd w:id="0"/>
      <w:r>
        <w:t>____________________________</w:t>
      </w:r>
    </w:p>
    <w:sectPr w:rsidR="00C96C34" w:rsidSect="008027E2">
      <w:footerReference w:type="default" r:id="rId8"/>
      <w:pgSz w:w="11906" w:h="16838" w:code="9"/>
      <w:pgMar w:top="851" w:right="566" w:bottom="993" w:left="1418"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027" w:rsidRDefault="00D17027" w:rsidP="0022217A">
      <w:r>
        <w:separator/>
      </w:r>
    </w:p>
  </w:endnote>
  <w:endnote w:type="continuationSeparator" w:id="0">
    <w:p w:rsidR="00D17027" w:rsidRDefault="00D17027" w:rsidP="0022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480882"/>
      <w:docPartObj>
        <w:docPartGallery w:val="Page Numbers (Bottom of Page)"/>
        <w:docPartUnique/>
      </w:docPartObj>
    </w:sdtPr>
    <w:sdtEndPr/>
    <w:sdtContent>
      <w:p w:rsidR="0022217A" w:rsidRDefault="0022217A">
        <w:pPr>
          <w:pStyle w:val="a6"/>
          <w:jc w:val="right"/>
        </w:pPr>
        <w:r>
          <w:fldChar w:fldCharType="begin"/>
        </w:r>
        <w:r>
          <w:instrText>PAGE   \* MERGEFORMAT</w:instrText>
        </w:r>
        <w:r>
          <w:fldChar w:fldCharType="separate"/>
        </w:r>
        <w:r w:rsidR="003B1151">
          <w:rPr>
            <w:noProof/>
          </w:rPr>
          <w:t>1</w:t>
        </w:r>
        <w:r>
          <w:fldChar w:fldCharType="end"/>
        </w:r>
      </w:p>
    </w:sdtContent>
  </w:sdt>
  <w:p w:rsidR="0022217A" w:rsidRDefault="002221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027" w:rsidRDefault="00D17027" w:rsidP="0022217A">
      <w:r>
        <w:separator/>
      </w:r>
    </w:p>
  </w:footnote>
  <w:footnote w:type="continuationSeparator" w:id="0">
    <w:p w:rsidR="00D17027" w:rsidRDefault="00D17027" w:rsidP="00222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F3CE5"/>
    <w:multiLevelType w:val="hybridMultilevel"/>
    <w:tmpl w:val="ABD24956"/>
    <w:lvl w:ilvl="0" w:tplc="9D74DE0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70"/>
    <w:rsid w:val="000108F4"/>
    <w:rsid w:val="00066A7B"/>
    <w:rsid w:val="0008289A"/>
    <w:rsid w:val="000943D2"/>
    <w:rsid w:val="000F1536"/>
    <w:rsid w:val="0012279E"/>
    <w:rsid w:val="001317B3"/>
    <w:rsid w:val="00151DA3"/>
    <w:rsid w:val="00180105"/>
    <w:rsid w:val="001A1136"/>
    <w:rsid w:val="001A1F25"/>
    <w:rsid w:val="001B0AB7"/>
    <w:rsid w:val="001D11C4"/>
    <w:rsid w:val="001E3039"/>
    <w:rsid w:val="0022217A"/>
    <w:rsid w:val="0023323E"/>
    <w:rsid w:val="0025794A"/>
    <w:rsid w:val="002F6211"/>
    <w:rsid w:val="0032011B"/>
    <w:rsid w:val="003569DC"/>
    <w:rsid w:val="003A11C5"/>
    <w:rsid w:val="003B1151"/>
    <w:rsid w:val="003B1F0F"/>
    <w:rsid w:val="003B2721"/>
    <w:rsid w:val="003D4EA1"/>
    <w:rsid w:val="003F46B2"/>
    <w:rsid w:val="003F6720"/>
    <w:rsid w:val="00450CDD"/>
    <w:rsid w:val="00476DA6"/>
    <w:rsid w:val="00492A53"/>
    <w:rsid w:val="004D0C16"/>
    <w:rsid w:val="005361A3"/>
    <w:rsid w:val="00537946"/>
    <w:rsid w:val="00583ADE"/>
    <w:rsid w:val="00597927"/>
    <w:rsid w:val="005D1BA1"/>
    <w:rsid w:val="00600543"/>
    <w:rsid w:val="006133F8"/>
    <w:rsid w:val="00644C74"/>
    <w:rsid w:val="00665ABA"/>
    <w:rsid w:val="00680D44"/>
    <w:rsid w:val="006B2949"/>
    <w:rsid w:val="006C3893"/>
    <w:rsid w:val="00782DC9"/>
    <w:rsid w:val="00785F13"/>
    <w:rsid w:val="007A2A7D"/>
    <w:rsid w:val="007C409E"/>
    <w:rsid w:val="007C70BC"/>
    <w:rsid w:val="007E332B"/>
    <w:rsid w:val="008027E2"/>
    <w:rsid w:val="00815C01"/>
    <w:rsid w:val="0088267D"/>
    <w:rsid w:val="008A229E"/>
    <w:rsid w:val="008E778F"/>
    <w:rsid w:val="008F4211"/>
    <w:rsid w:val="00907264"/>
    <w:rsid w:val="00926B6A"/>
    <w:rsid w:val="00931BAB"/>
    <w:rsid w:val="00937416"/>
    <w:rsid w:val="00970258"/>
    <w:rsid w:val="00983DCC"/>
    <w:rsid w:val="009854AF"/>
    <w:rsid w:val="00A5216F"/>
    <w:rsid w:val="00A8282E"/>
    <w:rsid w:val="00A94722"/>
    <w:rsid w:val="00AA4988"/>
    <w:rsid w:val="00AD7612"/>
    <w:rsid w:val="00AF3984"/>
    <w:rsid w:val="00B27773"/>
    <w:rsid w:val="00B32059"/>
    <w:rsid w:val="00BB3403"/>
    <w:rsid w:val="00BC7DA1"/>
    <w:rsid w:val="00BE7D11"/>
    <w:rsid w:val="00C03680"/>
    <w:rsid w:val="00C16F70"/>
    <w:rsid w:val="00C53864"/>
    <w:rsid w:val="00C96C34"/>
    <w:rsid w:val="00D0055F"/>
    <w:rsid w:val="00D17027"/>
    <w:rsid w:val="00DA401C"/>
    <w:rsid w:val="00DA4AE3"/>
    <w:rsid w:val="00E024E7"/>
    <w:rsid w:val="00E35965"/>
    <w:rsid w:val="00E4201C"/>
    <w:rsid w:val="00E862B1"/>
    <w:rsid w:val="00EA09CD"/>
    <w:rsid w:val="00EA641F"/>
    <w:rsid w:val="00EA7CDA"/>
    <w:rsid w:val="00ED1909"/>
    <w:rsid w:val="00EE2B88"/>
    <w:rsid w:val="00F04A1A"/>
    <w:rsid w:val="00F12104"/>
    <w:rsid w:val="00F2272A"/>
    <w:rsid w:val="00F62D76"/>
    <w:rsid w:val="00F6662A"/>
    <w:rsid w:val="00F81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0E2D"/>
  <w15:docId w15:val="{9BC21D95-1EFD-400B-9A85-CC58C9BF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F7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949"/>
    <w:pPr>
      <w:ind w:left="720"/>
      <w:contextualSpacing/>
    </w:pPr>
  </w:style>
  <w:style w:type="paragraph" w:styleId="a4">
    <w:name w:val="header"/>
    <w:basedOn w:val="a"/>
    <w:link w:val="a5"/>
    <w:uiPriority w:val="99"/>
    <w:unhideWhenUsed/>
    <w:rsid w:val="0022217A"/>
    <w:pPr>
      <w:tabs>
        <w:tab w:val="center" w:pos="4677"/>
        <w:tab w:val="right" w:pos="9355"/>
      </w:tabs>
    </w:pPr>
  </w:style>
  <w:style w:type="character" w:customStyle="1" w:styleId="a5">
    <w:name w:val="Верхний колонтитул Знак"/>
    <w:basedOn w:val="a0"/>
    <w:link w:val="a4"/>
    <w:uiPriority w:val="99"/>
    <w:rsid w:val="0022217A"/>
    <w:rPr>
      <w:rFonts w:ascii="Times New Roman" w:eastAsia="Calibri" w:hAnsi="Times New Roman" w:cs="Times New Roman"/>
      <w:sz w:val="24"/>
      <w:szCs w:val="24"/>
      <w:lang w:eastAsia="ru-RU"/>
    </w:rPr>
  </w:style>
  <w:style w:type="paragraph" w:styleId="a6">
    <w:name w:val="footer"/>
    <w:basedOn w:val="a"/>
    <w:link w:val="a7"/>
    <w:uiPriority w:val="99"/>
    <w:unhideWhenUsed/>
    <w:rsid w:val="0022217A"/>
    <w:pPr>
      <w:tabs>
        <w:tab w:val="center" w:pos="4677"/>
        <w:tab w:val="right" w:pos="9355"/>
      </w:tabs>
    </w:pPr>
  </w:style>
  <w:style w:type="character" w:customStyle="1" w:styleId="a7">
    <w:name w:val="Нижний колонтитул Знак"/>
    <w:basedOn w:val="a0"/>
    <w:link w:val="a6"/>
    <w:uiPriority w:val="99"/>
    <w:rsid w:val="0022217A"/>
    <w:rPr>
      <w:rFonts w:ascii="Times New Roman" w:eastAsia="Calibri" w:hAnsi="Times New Roman" w:cs="Times New Roman"/>
      <w:sz w:val="24"/>
      <w:szCs w:val="24"/>
      <w:lang w:eastAsia="ru-RU"/>
    </w:rPr>
  </w:style>
  <w:style w:type="paragraph" w:customStyle="1" w:styleId="ConsPlusNormal">
    <w:name w:val="ConsPlusNormal"/>
    <w:link w:val="ConsPlusNormal0"/>
    <w:rsid w:val="00151DA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51DA3"/>
    <w:rPr>
      <w:rFonts w:ascii="Calibri" w:eastAsia="Times New Roman" w:hAnsi="Calibri" w:cs="Calibri"/>
      <w:szCs w:val="20"/>
      <w:lang w:eastAsia="ru-RU"/>
    </w:rPr>
  </w:style>
  <w:style w:type="paragraph" w:customStyle="1" w:styleId="ConsPlusTitle">
    <w:name w:val="ConsPlusTitle"/>
    <w:rsid w:val="00151DA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BB3403"/>
    <w:rPr>
      <w:rFonts w:ascii="Tahoma" w:hAnsi="Tahoma" w:cs="Tahoma"/>
      <w:sz w:val="16"/>
      <w:szCs w:val="16"/>
    </w:rPr>
  </w:style>
  <w:style w:type="character" w:customStyle="1" w:styleId="a9">
    <w:name w:val="Текст выноски Знак"/>
    <w:basedOn w:val="a0"/>
    <w:link w:val="a8"/>
    <w:uiPriority w:val="99"/>
    <w:semiHidden/>
    <w:rsid w:val="00BB3403"/>
    <w:rPr>
      <w:rFonts w:ascii="Tahoma" w:eastAsia="Calibri" w:hAnsi="Tahoma" w:cs="Tahoma"/>
      <w:sz w:val="16"/>
      <w:szCs w:val="16"/>
      <w:lang w:eastAsia="ru-RU"/>
    </w:rPr>
  </w:style>
  <w:style w:type="character" w:customStyle="1" w:styleId="2">
    <w:name w:val="Основной текст (2)_"/>
    <w:link w:val="21"/>
    <w:uiPriority w:val="99"/>
    <w:locked/>
    <w:rsid w:val="00785F13"/>
    <w:rPr>
      <w:shd w:val="clear" w:color="auto" w:fill="FFFFFF"/>
    </w:rPr>
  </w:style>
  <w:style w:type="paragraph" w:customStyle="1" w:styleId="21">
    <w:name w:val="Основной текст (2)1"/>
    <w:basedOn w:val="a"/>
    <w:link w:val="2"/>
    <w:uiPriority w:val="99"/>
    <w:rsid w:val="00785F13"/>
    <w:pPr>
      <w:widowControl w:val="0"/>
      <w:shd w:val="clear" w:color="auto" w:fill="FFFFFF"/>
      <w:spacing w:after="300" w:line="240" w:lineRule="atLeas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43CF-C95D-4E94-BF3B-DE4BF0B5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Юрьевна Дмитриева</dc:creator>
  <cp:lastModifiedBy>Виктория Владимировна Силантьева</cp:lastModifiedBy>
  <cp:revision>9</cp:revision>
  <cp:lastPrinted>2024-05-27T06:01:00Z</cp:lastPrinted>
  <dcterms:created xsi:type="dcterms:W3CDTF">2024-01-24T05:50:00Z</dcterms:created>
  <dcterms:modified xsi:type="dcterms:W3CDTF">2024-05-27T06:02:00Z</dcterms:modified>
</cp:coreProperties>
</file>