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C89" w:rsidRPr="00D92C89" w:rsidRDefault="00783FB3" w:rsidP="00D92C89">
      <w:pPr>
        <w:spacing w:line="250" w:lineRule="exact"/>
        <w:jc w:val="center"/>
        <w:rPr>
          <w:b/>
          <w:sz w:val="27"/>
          <w:szCs w:val="27"/>
        </w:rPr>
      </w:pPr>
      <w:r w:rsidRPr="00D92C89">
        <w:rPr>
          <w:b/>
          <w:sz w:val="27"/>
          <w:szCs w:val="27"/>
        </w:rPr>
        <w:t>Информация о результатах плановой проверки в</w:t>
      </w:r>
    </w:p>
    <w:p w:rsidR="00783FB3" w:rsidRPr="00AB749E" w:rsidRDefault="00783FB3" w:rsidP="002A7ADD">
      <w:pPr>
        <w:spacing w:line="250" w:lineRule="exact"/>
        <w:jc w:val="center"/>
        <w:rPr>
          <w:b/>
          <w:sz w:val="27"/>
          <w:szCs w:val="27"/>
        </w:rPr>
      </w:pPr>
      <w:r w:rsidRPr="00D92C89">
        <w:rPr>
          <w:b/>
          <w:sz w:val="27"/>
          <w:szCs w:val="27"/>
        </w:rPr>
        <w:t>финансово</w:t>
      </w:r>
      <w:r w:rsidR="0072460E" w:rsidRPr="00D92C89">
        <w:rPr>
          <w:b/>
          <w:sz w:val="27"/>
          <w:szCs w:val="27"/>
        </w:rPr>
        <w:t>-</w:t>
      </w:r>
      <w:r w:rsidRPr="00D92C89">
        <w:rPr>
          <w:b/>
          <w:sz w:val="27"/>
          <w:szCs w:val="27"/>
        </w:rPr>
        <w:t xml:space="preserve">бюджетной сфере в </w:t>
      </w:r>
      <w:r w:rsidR="00D92C89" w:rsidRPr="00D92C89">
        <w:rPr>
          <w:b/>
          <w:sz w:val="27"/>
          <w:szCs w:val="27"/>
        </w:rPr>
        <w:t>М</w:t>
      </w:r>
      <w:r w:rsidR="00AB749E">
        <w:rPr>
          <w:b/>
          <w:sz w:val="27"/>
          <w:szCs w:val="27"/>
        </w:rPr>
        <w:t>КУ</w:t>
      </w:r>
      <w:r w:rsidR="00D92C89" w:rsidRPr="00D92C89">
        <w:rPr>
          <w:b/>
          <w:sz w:val="27"/>
          <w:szCs w:val="27"/>
        </w:rPr>
        <w:t xml:space="preserve"> </w:t>
      </w:r>
      <w:r w:rsidR="00AB749E" w:rsidRPr="00AB749E">
        <w:rPr>
          <w:b/>
          <w:sz w:val="25"/>
          <w:szCs w:val="25"/>
        </w:rPr>
        <w:t>«Центр обслуживания учреждений культуры Боровичского муниципального района»</w:t>
      </w:r>
    </w:p>
    <w:p w:rsidR="002A7ADD" w:rsidRPr="002A7ADD" w:rsidRDefault="002A7ADD" w:rsidP="002A7ADD">
      <w:pPr>
        <w:spacing w:line="250" w:lineRule="exact"/>
        <w:jc w:val="center"/>
        <w:rPr>
          <w:b/>
          <w:sz w:val="27"/>
          <w:szCs w:val="27"/>
        </w:rPr>
      </w:pPr>
    </w:p>
    <w:p w:rsidR="00AB749E" w:rsidRPr="006A72FF" w:rsidRDefault="00AB749E" w:rsidP="00AB749E">
      <w:pPr>
        <w:spacing w:line="240" w:lineRule="exact"/>
        <w:ind w:firstLine="709"/>
        <w:jc w:val="both"/>
        <w:rPr>
          <w:sz w:val="25"/>
          <w:szCs w:val="25"/>
        </w:rPr>
      </w:pPr>
      <w:bookmarkStart w:id="0" w:name="_Hlk118368725"/>
      <w:r w:rsidRPr="006A72FF">
        <w:rPr>
          <w:sz w:val="25"/>
          <w:szCs w:val="25"/>
        </w:rPr>
        <w:t>Комитетом финансов Администрации Боровичского муниципального района проведена плановая камеральная проверка в финансово-бюджетной сфере в Муниципальном казенном учреждении «Центр обслуживания учреждений культуры Боровичского муниципального района» (далее – Учреждение, ЦОУК) по теме: «Правомерность и эффективность осуществления расходов на обеспечение выполнения функций казенного учреждения и их отражение в бюджетном учете и отчетности» за проверяемый период с 01.10.2020-31.10.2022 (Акт № 10 от 29.12.2022г.).</w:t>
      </w:r>
    </w:p>
    <w:p w:rsidR="00AB749E" w:rsidRPr="006A72FF" w:rsidRDefault="00AB749E" w:rsidP="00AB749E">
      <w:pPr>
        <w:spacing w:line="240" w:lineRule="exact"/>
        <w:ind w:firstLine="709"/>
        <w:jc w:val="both"/>
        <w:rPr>
          <w:sz w:val="25"/>
          <w:szCs w:val="25"/>
        </w:rPr>
      </w:pPr>
      <w:r w:rsidRPr="006A72FF">
        <w:rPr>
          <w:sz w:val="25"/>
          <w:szCs w:val="25"/>
        </w:rPr>
        <w:t xml:space="preserve">В ходе проверки установлены нарушения Бюджетного кодекса РФ,  Федерального закона от 06.12.2011 N 402-ФЗ "О бухгалтерском учете", муниципальных правовых актов в сфере закупок, сфере оплаты труда и финансового планирования, а также иные недостатки ведения финансово-хозяйственной деятельности при исполнении бюджета Боровичского муниципального района. </w:t>
      </w:r>
    </w:p>
    <w:p w:rsidR="00AB749E" w:rsidRPr="006A72FF" w:rsidRDefault="00AB749E" w:rsidP="00AB749E">
      <w:pPr>
        <w:spacing w:line="240" w:lineRule="exact"/>
        <w:ind w:firstLine="709"/>
        <w:jc w:val="both"/>
        <w:rPr>
          <w:sz w:val="25"/>
          <w:szCs w:val="25"/>
        </w:rPr>
      </w:pPr>
      <w:r w:rsidRPr="006A72FF">
        <w:rPr>
          <w:sz w:val="25"/>
          <w:szCs w:val="25"/>
        </w:rPr>
        <w:t xml:space="preserve">Среди основных нарушений следующие: </w:t>
      </w:r>
    </w:p>
    <w:p w:rsidR="00AB749E" w:rsidRPr="006A72FF" w:rsidRDefault="00AB749E" w:rsidP="00AB749E">
      <w:pPr>
        <w:spacing w:line="240" w:lineRule="exact"/>
        <w:ind w:firstLine="709"/>
        <w:jc w:val="both"/>
        <w:rPr>
          <w:i/>
          <w:sz w:val="25"/>
          <w:szCs w:val="25"/>
        </w:rPr>
      </w:pPr>
      <w:r w:rsidRPr="006A72FF">
        <w:rPr>
          <w:i/>
          <w:sz w:val="25"/>
          <w:szCs w:val="25"/>
        </w:rPr>
        <w:t xml:space="preserve">По вопросу «Соблюдение положений правовых актов, регулирующих бюджетные правоотношения. Соблюдение бюджетной сметы. Наличие обоснования (расчетов) плановых сметных показателей»: </w:t>
      </w:r>
    </w:p>
    <w:p w:rsidR="00AB749E" w:rsidRPr="006A72FF" w:rsidRDefault="00AB749E" w:rsidP="00AB749E">
      <w:pPr>
        <w:spacing w:line="240" w:lineRule="exact"/>
        <w:ind w:firstLine="709"/>
        <w:jc w:val="both"/>
        <w:rPr>
          <w:sz w:val="25"/>
          <w:szCs w:val="25"/>
        </w:rPr>
      </w:pPr>
      <w:r w:rsidRPr="006A72FF">
        <w:rPr>
          <w:sz w:val="25"/>
          <w:szCs w:val="25"/>
        </w:rPr>
        <w:t xml:space="preserve">* В отношении денежных обязательств допущено в 2021 году превышение лимитов бюджетных обязательств по виду расходов 244 «Прочая закупка товаров, работ, услуг» (разд. 0804) на сумму 5160 руб. – в нарушение статей 161 и 219 Бюджетного кодекса РФ (код нарушения: 020302000102 по Классификатору нарушений (рисков), выявляемых Федеральным казначейством в ходе осуществления контроля в финансово-бюджетной сфере, утв. Казначейством России 19.12.2017). </w:t>
      </w:r>
    </w:p>
    <w:p w:rsidR="00AB749E" w:rsidRPr="006A72FF" w:rsidRDefault="00AB749E" w:rsidP="00AB749E">
      <w:pPr>
        <w:spacing w:line="240" w:lineRule="exact"/>
        <w:ind w:firstLine="709"/>
        <w:jc w:val="both"/>
        <w:rPr>
          <w:sz w:val="25"/>
          <w:szCs w:val="25"/>
        </w:rPr>
      </w:pPr>
      <w:r w:rsidRPr="006A72FF">
        <w:rPr>
          <w:sz w:val="25"/>
          <w:szCs w:val="25"/>
        </w:rPr>
        <w:t>* Отчет о бюджетных обязательствах (ф.0503128) в составе годовой бюджетной отчетности за 2021 год составлен не на основе данных Главной книги – в нарушение пункта 1 статьи 13 Федерального закона от 06.12.2011 N 402-ФЗ "О бухгалтерском учете": расхождения составили 6 066,33 руб. - по виду расходов 244 «Прочая закупка товаров, работ, услуг» (разд. 0804).</w:t>
      </w:r>
    </w:p>
    <w:p w:rsidR="00AB749E" w:rsidRPr="006A72FF" w:rsidRDefault="00AB749E" w:rsidP="00AB749E">
      <w:pPr>
        <w:spacing w:line="240" w:lineRule="exact"/>
        <w:ind w:firstLine="709"/>
        <w:jc w:val="both"/>
        <w:rPr>
          <w:sz w:val="25"/>
          <w:szCs w:val="25"/>
        </w:rPr>
      </w:pPr>
      <w:r w:rsidRPr="006A72FF">
        <w:rPr>
          <w:sz w:val="25"/>
          <w:szCs w:val="25"/>
        </w:rPr>
        <w:t xml:space="preserve">* Неправомерно запланированы в бюджетной смете на 2022 год на общую  сумму 1500 руб. расходы на уплату пени и штрафов по виду расходов 853 «Уплата иных платежей» (пени, штрафы) и расходы на уплату налогов при отсутствии объектов налогообложения – по виду расходов 851 «Уплата налога на имущество организаций и земельного налога». </w:t>
      </w:r>
    </w:p>
    <w:p w:rsidR="00AB749E" w:rsidRPr="006A72FF" w:rsidRDefault="00AB749E" w:rsidP="00AB749E">
      <w:pPr>
        <w:spacing w:line="240" w:lineRule="exact"/>
        <w:ind w:firstLine="709"/>
        <w:jc w:val="both"/>
        <w:rPr>
          <w:sz w:val="25"/>
          <w:szCs w:val="25"/>
        </w:rPr>
      </w:pPr>
      <w:r w:rsidRPr="006A72FF">
        <w:rPr>
          <w:sz w:val="25"/>
          <w:szCs w:val="25"/>
        </w:rPr>
        <w:t>Обоснование плановых сметных показателей к бюджетной смете по данным расходам отсутствует – в нарушение пункта 2.3 Порядка составления, утверждения и ведения бюджетных смет казенных учреждений, подведомственных Комитету культуры, утв. приказом Комитета культуры от 29.12.2018 № 67.</w:t>
      </w:r>
    </w:p>
    <w:p w:rsidR="00AB749E" w:rsidRPr="006A72FF" w:rsidRDefault="00AB749E" w:rsidP="00AB749E">
      <w:pPr>
        <w:spacing w:line="240" w:lineRule="exact"/>
        <w:ind w:firstLine="709"/>
        <w:jc w:val="both"/>
        <w:rPr>
          <w:sz w:val="25"/>
          <w:szCs w:val="25"/>
        </w:rPr>
      </w:pPr>
      <w:r w:rsidRPr="006A72FF">
        <w:rPr>
          <w:sz w:val="25"/>
          <w:szCs w:val="25"/>
        </w:rPr>
        <w:t>* При планировании фонда оплаты труда в ЦОУК необоснованно осуществлялось планирование экономии фонда оплаты труда искусственным образом в ряде случаев, к примеру, при расчете годового фонда оплаты труда на 2022 год:</w:t>
      </w:r>
    </w:p>
    <w:p w:rsidR="00AB749E" w:rsidRPr="006A72FF" w:rsidRDefault="00AB749E" w:rsidP="00AB749E">
      <w:pPr>
        <w:spacing w:line="240" w:lineRule="exact"/>
        <w:ind w:firstLine="709"/>
        <w:jc w:val="both"/>
        <w:rPr>
          <w:sz w:val="25"/>
          <w:szCs w:val="25"/>
        </w:rPr>
      </w:pPr>
      <w:r w:rsidRPr="006A72FF">
        <w:rPr>
          <w:sz w:val="25"/>
          <w:szCs w:val="25"/>
        </w:rPr>
        <w:t>- В расчет включена должность «Главный специалист по программному обеспечению» 0,5 ставки – по факту в штатном расписании отсутствует; завышение планового годового фонда на 161 376 руб.</w:t>
      </w:r>
    </w:p>
    <w:p w:rsidR="00AB749E" w:rsidRPr="006A72FF" w:rsidRDefault="00AB749E" w:rsidP="00AB749E">
      <w:pPr>
        <w:spacing w:line="240" w:lineRule="exact"/>
        <w:ind w:firstLine="709"/>
        <w:jc w:val="both"/>
        <w:rPr>
          <w:sz w:val="25"/>
          <w:szCs w:val="25"/>
        </w:rPr>
      </w:pPr>
      <w:r w:rsidRPr="006A72FF">
        <w:rPr>
          <w:sz w:val="25"/>
          <w:szCs w:val="25"/>
        </w:rPr>
        <w:t xml:space="preserve">- Расчет по должности «Ведущий экономист по ведению статистической и налоговой отчетности» сделан на 1 полную ставку, хотя по штатному расписанию предусмотрено: 0,75 ставки; завышение планового годового фонда на 94 337,70 руб. </w:t>
      </w:r>
    </w:p>
    <w:p w:rsidR="00AB749E" w:rsidRPr="006A72FF" w:rsidRDefault="00AB749E" w:rsidP="00AB749E">
      <w:pPr>
        <w:spacing w:line="240" w:lineRule="exact"/>
        <w:ind w:firstLine="709"/>
        <w:jc w:val="both"/>
        <w:rPr>
          <w:sz w:val="25"/>
          <w:szCs w:val="25"/>
        </w:rPr>
      </w:pPr>
      <w:r w:rsidRPr="006A72FF">
        <w:rPr>
          <w:sz w:val="25"/>
          <w:szCs w:val="25"/>
        </w:rPr>
        <w:t xml:space="preserve">- Кроме того, экономию фонда оплаты труда по факту составляют суммы назначения некоторым сотрудникам надбавки за интенсивность в размере меньшем, чем по штатному расписанию; годовая экономия по 3-м должностям сотрудников АУП составляет 76 262,76 руб. При наличии вакансий данная форма планирования фонда экономии не является оправданной. </w:t>
      </w:r>
    </w:p>
    <w:p w:rsidR="00AB749E" w:rsidRPr="006A72FF" w:rsidRDefault="00AB749E" w:rsidP="00AB749E">
      <w:pPr>
        <w:spacing w:line="240" w:lineRule="exact"/>
        <w:ind w:firstLine="709"/>
        <w:jc w:val="both"/>
        <w:rPr>
          <w:sz w:val="25"/>
          <w:szCs w:val="25"/>
        </w:rPr>
      </w:pPr>
      <w:r w:rsidRPr="006A72FF">
        <w:rPr>
          <w:sz w:val="25"/>
          <w:szCs w:val="25"/>
        </w:rPr>
        <w:t xml:space="preserve">- Численность уборщиков и дворников, включенных в штатное расписание ЦОУК, не подтверждена замерами убираемой площади, расчетами и иной информацией. </w:t>
      </w:r>
    </w:p>
    <w:p w:rsidR="00AB749E" w:rsidRPr="006A72FF" w:rsidRDefault="00AB749E" w:rsidP="00AB749E">
      <w:pPr>
        <w:spacing w:line="240" w:lineRule="exact"/>
        <w:ind w:firstLine="709"/>
        <w:jc w:val="both"/>
        <w:rPr>
          <w:sz w:val="25"/>
          <w:szCs w:val="25"/>
        </w:rPr>
      </w:pPr>
      <w:r w:rsidRPr="006A72FF">
        <w:rPr>
          <w:sz w:val="25"/>
          <w:szCs w:val="25"/>
        </w:rPr>
        <w:t>Штатное расписание ЦОУК сформировано без соблюдения принципа эффективности использования бюджетных средств и принципов нормирования труда – в нарушение статьи 34 Бюджетного кодекса РФ, статей 160-161 Трудового кодекса РФ.</w:t>
      </w:r>
    </w:p>
    <w:p w:rsidR="00AB749E" w:rsidRPr="006A72FF" w:rsidRDefault="00AB749E" w:rsidP="00AB749E">
      <w:pPr>
        <w:spacing w:line="240" w:lineRule="exact"/>
        <w:ind w:firstLine="709"/>
        <w:jc w:val="both"/>
        <w:rPr>
          <w:i/>
          <w:sz w:val="25"/>
          <w:szCs w:val="25"/>
        </w:rPr>
      </w:pPr>
      <w:r w:rsidRPr="006A72FF">
        <w:rPr>
          <w:i/>
          <w:sz w:val="25"/>
          <w:szCs w:val="25"/>
        </w:rPr>
        <w:t>По вопросу «Соблюдение положений правовых актов, устанавливающих требования к бухгалтерскому (бюджетному) учету и отчетности. Достоверность бюджетного учета и отчетности»:</w:t>
      </w:r>
    </w:p>
    <w:p w:rsidR="00AB749E" w:rsidRPr="006A72FF" w:rsidRDefault="00AB749E" w:rsidP="00AB749E">
      <w:pPr>
        <w:spacing w:line="240" w:lineRule="exact"/>
        <w:ind w:firstLine="709"/>
        <w:jc w:val="both"/>
        <w:rPr>
          <w:sz w:val="25"/>
          <w:szCs w:val="25"/>
        </w:rPr>
      </w:pPr>
      <w:r w:rsidRPr="006A72FF">
        <w:rPr>
          <w:sz w:val="25"/>
          <w:szCs w:val="25"/>
        </w:rPr>
        <w:t xml:space="preserve">* При осуществлении расходных кассовых операций в проверяемом периоде на общую сумму 21 529,14 руб. с использованием Корпоративной карты не был применен счет </w:t>
      </w:r>
      <w:r w:rsidRPr="006A72FF">
        <w:rPr>
          <w:sz w:val="25"/>
          <w:szCs w:val="25"/>
        </w:rPr>
        <w:lastRenderedPageBreak/>
        <w:t>120103 "Денежные средства учреждения в пути" – в нарушение пункта 47 Инструкции по применению Плана счетов бюджетного учета, утв. Приказом Минфина России от 06.12.2010 N 162н (к примеру, по сумме 12 532,15 руб. - дата списания из кассы денежных средств 08.12.2020, зачисление на лицевой счет в Казначействе 15.12.2020).</w:t>
      </w:r>
    </w:p>
    <w:p w:rsidR="00AB749E" w:rsidRPr="006A72FF" w:rsidRDefault="00AB749E" w:rsidP="00AB749E">
      <w:pPr>
        <w:spacing w:line="240" w:lineRule="exact"/>
        <w:ind w:firstLine="709"/>
        <w:jc w:val="both"/>
        <w:rPr>
          <w:sz w:val="25"/>
          <w:szCs w:val="25"/>
        </w:rPr>
      </w:pPr>
      <w:r w:rsidRPr="006A72FF">
        <w:rPr>
          <w:sz w:val="25"/>
          <w:szCs w:val="25"/>
        </w:rPr>
        <w:t>* В расходном кассовом ордере не указаны Ф.И.О. лица, получившего денежные средства для дальнейшей сдачи на лицевой счет в Казначействе – в нарушение пункта 6.1. Указания Банка России от 11.03.2014 N 3210-У (ред. от 05.10.2020)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AB749E" w:rsidRPr="006A72FF" w:rsidRDefault="00AB749E" w:rsidP="00AB749E">
      <w:pPr>
        <w:spacing w:line="240" w:lineRule="exact"/>
        <w:ind w:firstLine="709"/>
        <w:jc w:val="both"/>
        <w:rPr>
          <w:sz w:val="25"/>
          <w:szCs w:val="25"/>
        </w:rPr>
      </w:pPr>
      <w:r w:rsidRPr="006A72FF">
        <w:rPr>
          <w:sz w:val="25"/>
          <w:szCs w:val="25"/>
        </w:rPr>
        <w:t>* Аналитический учет расчетов по заработной плате должным образом не организован. Начиная с апреля 2021 года допущены несоответствия данных синтетического (по счету 130211) и аналитического (</w:t>
      </w:r>
      <w:proofErr w:type="spellStart"/>
      <w:r w:rsidRPr="006A72FF">
        <w:rPr>
          <w:sz w:val="25"/>
          <w:szCs w:val="25"/>
        </w:rPr>
        <w:t>пофамильного</w:t>
      </w:r>
      <w:proofErr w:type="spellEnd"/>
      <w:r w:rsidRPr="006A72FF">
        <w:rPr>
          <w:sz w:val="25"/>
          <w:szCs w:val="25"/>
        </w:rPr>
        <w:t>) учета по показателю задолженности по заработной плате на конец месяца – в нарушение пункта 3 (абз.9) Инструкции по применению Единого плана счетов бухгалтерского учета, утв. Приказом Минфина России от 01.12.2010 N 157н.  К примеру, задолженность по сост. на 31.10.2022 по счету 130211 «Расчеты по оплате труда» составляет 588 795,17 руб., в регистре аналитического учета – 0 руб. и в Карточках-справках «сумма к выдаче» 0 руб.</w:t>
      </w:r>
    </w:p>
    <w:p w:rsidR="00AB749E" w:rsidRPr="006A72FF" w:rsidRDefault="00AB749E" w:rsidP="00AB749E">
      <w:pPr>
        <w:spacing w:line="240" w:lineRule="exact"/>
        <w:ind w:firstLine="709"/>
        <w:jc w:val="both"/>
        <w:rPr>
          <w:sz w:val="25"/>
          <w:szCs w:val="25"/>
        </w:rPr>
      </w:pPr>
      <w:r w:rsidRPr="006A72FF">
        <w:rPr>
          <w:sz w:val="25"/>
          <w:szCs w:val="25"/>
        </w:rPr>
        <w:t xml:space="preserve">Аналитический учет по счету 130403 «Расчеты по удержаниям из заработной платы» должным образом не организован: в разрезе контрагентов  нет достоверной  информации о сумме задолженности перед организациями по сост. на 31.10.2022 (по перечислению </w:t>
      </w:r>
      <w:proofErr w:type="spellStart"/>
      <w:r w:rsidRPr="006A72FF">
        <w:rPr>
          <w:sz w:val="25"/>
          <w:szCs w:val="25"/>
        </w:rPr>
        <w:t>профвзносов</w:t>
      </w:r>
      <w:proofErr w:type="spellEnd"/>
      <w:r w:rsidRPr="006A72FF">
        <w:rPr>
          <w:sz w:val="25"/>
          <w:szCs w:val="25"/>
        </w:rPr>
        <w:t>, по исполнительным листам).</w:t>
      </w:r>
    </w:p>
    <w:p w:rsidR="00AB749E" w:rsidRPr="006A72FF" w:rsidRDefault="00AB749E" w:rsidP="00AB749E">
      <w:pPr>
        <w:spacing w:line="240" w:lineRule="exact"/>
        <w:ind w:firstLine="709"/>
        <w:jc w:val="both"/>
        <w:rPr>
          <w:sz w:val="25"/>
          <w:szCs w:val="25"/>
        </w:rPr>
      </w:pPr>
      <w:r w:rsidRPr="006A72FF">
        <w:rPr>
          <w:sz w:val="25"/>
          <w:szCs w:val="25"/>
        </w:rPr>
        <w:t>Внутренний контроль за достоверностью и соответствием показателей задолженности в различных документах не осуществляется в Учреждении –</w:t>
      </w:r>
      <w:r>
        <w:rPr>
          <w:sz w:val="25"/>
          <w:szCs w:val="25"/>
        </w:rPr>
        <w:t xml:space="preserve"> </w:t>
      </w:r>
      <w:r w:rsidRPr="006A72FF">
        <w:rPr>
          <w:sz w:val="25"/>
          <w:szCs w:val="25"/>
        </w:rPr>
        <w:t>в нарушение статьи 19 Федерального закона от 06.12.2011 N 402-ФЗ "О бухгалтерском учете".</w:t>
      </w:r>
    </w:p>
    <w:p w:rsidR="00AB749E" w:rsidRPr="006A72FF" w:rsidRDefault="00AB749E" w:rsidP="00AB749E">
      <w:pPr>
        <w:spacing w:line="240" w:lineRule="exact"/>
        <w:ind w:firstLine="709"/>
        <w:jc w:val="both"/>
        <w:rPr>
          <w:i/>
          <w:sz w:val="25"/>
          <w:szCs w:val="25"/>
        </w:rPr>
      </w:pPr>
      <w:r w:rsidRPr="006A72FF">
        <w:rPr>
          <w:i/>
          <w:sz w:val="25"/>
          <w:szCs w:val="25"/>
        </w:rPr>
        <w:t>По вопросу «Целевое использование бюджетных средств, правомерность и эффективность их расходования на заработную плату работников учреждения и прочие расходы»:</w:t>
      </w:r>
    </w:p>
    <w:p w:rsidR="00AB749E" w:rsidRPr="006A72FF" w:rsidRDefault="00AB749E" w:rsidP="00AB749E">
      <w:pPr>
        <w:spacing w:line="240" w:lineRule="exact"/>
        <w:ind w:firstLine="709"/>
        <w:jc w:val="both"/>
        <w:rPr>
          <w:sz w:val="25"/>
          <w:szCs w:val="25"/>
        </w:rPr>
      </w:pPr>
      <w:r w:rsidRPr="006A72FF">
        <w:rPr>
          <w:sz w:val="25"/>
          <w:szCs w:val="25"/>
        </w:rPr>
        <w:t>√ Положение о порядке оплаты труда работников МКУ «ЦОУК» утверждено приказом Комитета культуры, а не муниципальным правовым актом Администрации БМР – в нарушение пункта 2 Положения о системе оплаты труда работников муниципальных (бюджетных, автономных и казенных) учреждений Боровичского муниципального района, утв. постановлением Администрации БМР (далее – Положение о системе оплаты труда в муниципальных учреждениях № 1195) и статьи 5 Устава Боровичского муниципального района, утв. Решением Думы Боровичского муниципального района от 30.05.2019 N 255.</w:t>
      </w:r>
    </w:p>
    <w:p w:rsidR="00AB749E" w:rsidRPr="006A72FF" w:rsidRDefault="00AB749E" w:rsidP="00AB749E">
      <w:pPr>
        <w:spacing w:line="240" w:lineRule="exact"/>
        <w:ind w:firstLine="709"/>
        <w:jc w:val="both"/>
        <w:rPr>
          <w:sz w:val="25"/>
          <w:szCs w:val="25"/>
        </w:rPr>
      </w:pPr>
      <w:r w:rsidRPr="006A72FF">
        <w:rPr>
          <w:sz w:val="25"/>
          <w:szCs w:val="25"/>
        </w:rPr>
        <w:t>* Работникам административно-управленческого персонала и отдела по бухгалтерскому обслуживанию и работе с персоналом (далее – сотрудники АУП) в 2021 году необоснованно предоставлялись дополнительные оплачиваемые отпуска за выслугу лиц (до 10 календарных дней в зависимости от стажа) – в нарушение статей 34, 144 Трудового кодекса РФ, постановления Администрации БМР от 16.10.2020 № 2631.</w:t>
      </w:r>
    </w:p>
    <w:p w:rsidR="00AB749E" w:rsidRPr="006A72FF" w:rsidRDefault="00AB749E" w:rsidP="00AB749E">
      <w:pPr>
        <w:spacing w:line="240" w:lineRule="exact"/>
        <w:ind w:firstLine="709"/>
        <w:jc w:val="both"/>
        <w:rPr>
          <w:sz w:val="25"/>
          <w:szCs w:val="25"/>
        </w:rPr>
      </w:pPr>
      <w:r w:rsidRPr="006A72FF">
        <w:rPr>
          <w:sz w:val="25"/>
          <w:szCs w:val="25"/>
        </w:rPr>
        <w:t>Были проигнорированы требования учредителя о внесении необходимых изменений в правовые акты Учреждения и недопущении оплаты за счет бюджетных средств непредусмотренных видов дополнительных отпусков (по постановлению Администрации БМР от 16.10.2020 № 2631).</w:t>
      </w:r>
    </w:p>
    <w:p w:rsidR="00AB749E" w:rsidRPr="006A72FF" w:rsidRDefault="00AB749E" w:rsidP="00AB749E">
      <w:pPr>
        <w:spacing w:line="240" w:lineRule="exact"/>
        <w:ind w:firstLine="709"/>
        <w:jc w:val="both"/>
        <w:rPr>
          <w:sz w:val="25"/>
          <w:szCs w:val="25"/>
        </w:rPr>
      </w:pPr>
      <w:r w:rsidRPr="006A72FF">
        <w:rPr>
          <w:sz w:val="25"/>
          <w:szCs w:val="25"/>
        </w:rPr>
        <w:t>* В предоставленных Карточках-справках (ф.0504417) за 2021 год сведения об использовании отпусков не заполнены – в нарушение Приказа Минфина России от 30.03.2015 N 52н "Об утверждении форм первичных учетных документов и регистров бухгалтерского учета».</w:t>
      </w:r>
    </w:p>
    <w:p w:rsidR="00AB749E" w:rsidRPr="006A72FF" w:rsidRDefault="00AB749E" w:rsidP="00AB749E">
      <w:pPr>
        <w:spacing w:line="240" w:lineRule="exact"/>
        <w:ind w:firstLine="709"/>
        <w:jc w:val="both"/>
        <w:rPr>
          <w:sz w:val="25"/>
          <w:szCs w:val="25"/>
        </w:rPr>
      </w:pPr>
      <w:r w:rsidRPr="006A72FF">
        <w:rPr>
          <w:sz w:val="25"/>
          <w:szCs w:val="25"/>
        </w:rPr>
        <w:t xml:space="preserve">* Приказы о предоставлении работникам ежегодных оплачиваемых отпусков, о назначении премирования отсутствуют в регистрации приказов по личному составу - в нарушение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6A72FF">
        <w:rPr>
          <w:sz w:val="25"/>
          <w:szCs w:val="25"/>
        </w:rPr>
        <w:t>Росархива</w:t>
      </w:r>
      <w:proofErr w:type="spellEnd"/>
      <w:r w:rsidRPr="006A72FF">
        <w:rPr>
          <w:sz w:val="25"/>
          <w:szCs w:val="25"/>
        </w:rPr>
        <w:t xml:space="preserve"> от 20.12.2019 N 236 (п. 434 Перечня документов).</w:t>
      </w:r>
    </w:p>
    <w:p w:rsidR="00AB749E" w:rsidRPr="006A72FF" w:rsidRDefault="00AB749E" w:rsidP="00AB749E">
      <w:pPr>
        <w:spacing w:line="240" w:lineRule="exact"/>
        <w:ind w:firstLine="709"/>
        <w:jc w:val="both"/>
        <w:rPr>
          <w:sz w:val="25"/>
          <w:szCs w:val="25"/>
        </w:rPr>
      </w:pPr>
      <w:r w:rsidRPr="006A72FF">
        <w:rPr>
          <w:sz w:val="25"/>
          <w:szCs w:val="25"/>
        </w:rPr>
        <w:t>* Штатные расписания проверяемого периода в Комитет финансов для прохождения процедуры согласования не направлялись – в нарушение пункта 20 Положения о системе оплаты труда в муниципальных учреждениях № 1195.</w:t>
      </w:r>
    </w:p>
    <w:p w:rsidR="00AB749E" w:rsidRPr="006A72FF" w:rsidRDefault="00AB749E" w:rsidP="00AB749E">
      <w:pPr>
        <w:spacing w:line="240" w:lineRule="exact"/>
        <w:ind w:firstLine="709"/>
        <w:jc w:val="both"/>
        <w:rPr>
          <w:sz w:val="25"/>
          <w:szCs w:val="25"/>
        </w:rPr>
      </w:pPr>
      <w:r w:rsidRPr="006A72FF">
        <w:rPr>
          <w:sz w:val="25"/>
          <w:szCs w:val="25"/>
        </w:rPr>
        <w:t>* Длительное время некоторые ставки специалистов и рабочих вспомогательного персонала являются вакантными, что свидетельствует о неэффективном планировании штата и фонда оплаты труда.</w:t>
      </w:r>
    </w:p>
    <w:p w:rsidR="00AB749E" w:rsidRPr="006A72FF" w:rsidRDefault="00AB749E" w:rsidP="00AB749E">
      <w:pPr>
        <w:spacing w:line="240" w:lineRule="exact"/>
        <w:ind w:firstLine="709"/>
        <w:jc w:val="both"/>
        <w:rPr>
          <w:sz w:val="25"/>
          <w:szCs w:val="25"/>
        </w:rPr>
      </w:pPr>
      <w:r w:rsidRPr="006A72FF">
        <w:rPr>
          <w:sz w:val="25"/>
          <w:szCs w:val="25"/>
        </w:rPr>
        <w:t>* «Раздутие» штата искусственным образом подтверждается рядом управленческих решений по изменению структуры штата, влияющих на завышение фонда оплаты труда, к примеру:</w:t>
      </w:r>
    </w:p>
    <w:p w:rsidR="00AB749E" w:rsidRPr="006A72FF" w:rsidRDefault="00AB749E" w:rsidP="00AB749E">
      <w:pPr>
        <w:spacing w:line="240" w:lineRule="exact"/>
        <w:ind w:firstLine="709"/>
        <w:jc w:val="both"/>
        <w:rPr>
          <w:sz w:val="25"/>
          <w:szCs w:val="25"/>
        </w:rPr>
      </w:pPr>
      <w:r w:rsidRPr="006A72FF">
        <w:rPr>
          <w:sz w:val="25"/>
          <w:szCs w:val="25"/>
        </w:rPr>
        <w:lastRenderedPageBreak/>
        <w:t>- При наличии вакансии в размере 0,25 ставки по должности «Бухгалтер 1 категории с выполнением обязанности кассира» было введено с 01.01.2022 еще 0,5 ставки (по сост. на 31.10.2022 вакантны 0,75 ставки по данной должности).</w:t>
      </w:r>
    </w:p>
    <w:p w:rsidR="00AB749E" w:rsidRPr="006A72FF" w:rsidRDefault="00AB749E" w:rsidP="00AB749E">
      <w:pPr>
        <w:spacing w:line="240" w:lineRule="exact"/>
        <w:ind w:firstLine="709"/>
        <w:jc w:val="both"/>
        <w:rPr>
          <w:sz w:val="25"/>
          <w:szCs w:val="25"/>
        </w:rPr>
      </w:pPr>
      <w:r w:rsidRPr="006A72FF">
        <w:rPr>
          <w:sz w:val="25"/>
          <w:szCs w:val="25"/>
        </w:rPr>
        <w:t xml:space="preserve">- В период нахождения сотрудника в отпуске по беременности и родам размер ставки по должности «Ведущий специалист по работе с персоналом» был увеличен с 0,25 ставки до 0,5 ставки – с 01.01.2021. При этом объем кадровой работы в данном учреждении размеру 0,5 ставки (4 часа в день) не соответствует, в том числе с учетом отсутствия в ЦОУК информации о штатных сотрудниках вспомогательного персонала: о конкретном режиме работы, размере убираемой площади и т.д. </w:t>
      </w:r>
    </w:p>
    <w:p w:rsidR="00AB749E" w:rsidRPr="006A72FF" w:rsidRDefault="00AB749E" w:rsidP="00AB749E">
      <w:pPr>
        <w:spacing w:line="240" w:lineRule="exact"/>
        <w:ind w:firstLine="709"/>
        <w:jc w:val="both"/>
        <w:rPr>
          <w:sz w:val="25"/>
          <w:szCs w:val="25"/>
        </w:rPr>
      </w:pPr>
      <w:r w:rsidRPr="006A72FF">
        <w:rPr>
          <w:sz w:val="25"/>
          <w:szCs w:val="25"/>
        </w:rPr>
        <w:t>* В дополнительных соглашениях к трудовым договорам с некоторыми сотрудниками АУП не установлен срок, в течение которого сотрудники будут выполнять дополнительную работу в порядке совмещения должностей, а также не указано содержание и конкретный объем работы – в нарушение статьи 60.2 Трудового кодекса РФ.</w:t>
      </w:r>
    </w:p>
    <w:p w:rsidR="00AB749E" w:rsidRPr="006A72FF" w:rsidRDefault="00AB749E" w:rsidP="00AB749E">
      <w:pPr>
        <w:spacing w:line="240" w:lineRule="exact"/>
        <w:ind w:firstLine="709"/>
        <w:jc w:val="both"/>
        <w:rPr>
          <w:sz w:val="25"/>
          <w:szCs w:val="25"/>
        </w:rPr>
      </w:pPr>
      <w:r w:rsidRPr="006A72FF">
        <w:rPr>
          <w:sz w:val="25"/>
          <w:szCs w:val="25"/>
        </w:rPr>
        <w:t>* Доплаты за обязанности вакантных должностей производятся в Учреждении в течение длительного периода, что указывает на неэффективное для бюджета формирование штата и на возможность исполнения данных обязанностей сотрудниками в течение рабочего времени без ущерба для основной работы.</w:t>
      </w:r>
    </w:p>
    <w:p w:rsidR="00AB749E" w:rsidRPr="006A72FF" w:rsidRDefault="00AB749E" w:rsidP="00AB749E">
      <w:pPr>
        <w:spacing w:line="240" w:lineRule="exact"/>
        <w:ind w:firstLine="709"/>
        <w:jc w:val="both"/>
        <w:rPr>
          <w:sz w:val="25"/>
          <w:szCs w:val="25"/>
        </w:rPr>
      </w:pPr>
      <w:r w:rsidRPr="006A72FF">
        <w:rPr>
          <w:sz w:val="25"/>
          <w:szCs w:val="25"/>
        </w:rPr>
        <w:t xml:space="preserve">* В Положении об оплате труда работников ЦОУК (в отличие от положений об оплате труда работников муниципальных учреждений в других сферах деятельности) не установлен максимально предельный размер доплаты за совмещение должностей (профессий). </w:t>
      </w:r>
    </w:p>
    <w:p w:rsidR="00AB749E" w:rsidRPr="006A72FF" w:rsidRDefault="00AB749E" w:rsidP="00AB749E">
      <w:pPr>
        <w:spacing w:line="240" w:lineRule="exact"/>
        <w:ind w:firstLine="709"/>
        <w:jc w:val="both"/>
        <w:rPr>
          <w:sz w:val="25"/>
          <w:szCs w:val="25"/>
        </w:rPr>
      </w:pPr>
      <w:r w:rsidRPr="006A72FF">
        <w:rPr>
          <w:sz w:val="25"/>
          <w:szCs w:val="25"/>
        </w:rPr>
        <w:t xml:space="preserve">* Среднедневной заработок некоторых сотрудников АУП (с 01.07.2022 – без включения доплат за совмещение) превысил среднедневной заработок директора – в нарушение пункта 12.1 (абз.2) Положения о системе оплаты труда в муниципальных учреждениях № 1195. Имеются коррупциогенные факторы. </w:t>
      </w:r>
    </w:p>
    <w:p w:rsidR="00AB749E" w:rsidRPr="006A72FF" w:rsidRDefault="00AB749E" w:rsidP="00AB749E">
      <w:pPr>
        <w:spacing w:line="240" w:lineRule="exact"/>
        <w:ind w:firstLine="709"/>
        <w:jc w:val="both"/>
        <w:rPr>
          <w:sz w:val="25"/>
          <w:szCs w:val="25"/>
        </w:rPr>
      </w:pPr>
      <w:r w:rsidRPr="006A72FF">
        <w:rPr>
          <w:sz w:val="25"/>
          <w:szCs w:val="25"/>
        </w:rPr>
        <w:t>* В штатном расписании Учреждения 4 ставки руководящих должностей с примерно одинаковой зарплатой (директор, заместитель директора, главный бухгалтер, главный экономист). Согласно пункту 3.2. Устава ЦОУК среди целей создания Учреждения: минимизация управленческих затрат по осуществлению учетных и отчетных процедур. Однако, экономический эффект от содержания централизованной бухгалтерии в сфере обслуживания учреждений культуры не прослеживается.</w:t>
      </w:r>
    </w:p>
    <w:p w:rsidR="00AB749E" w:rsidRPr="006A72FF" w:rsidRDefault="00AB749E" w:rsidP="00AB749E">
      <w:pPr>
        <w:spacing w:line="240" w:lineRule="exact"/>
        <w:ind w:firstLine="709"/>
        <w:jc w:val="both"/>
        <w:rPr>
          <w:sz w:val="25"/>
          <w:szCs w:val="25"/>
        </w:rPr>
      </w:pPr>
      <w:r w:rsidRPr="006A72FF">
        <w:rPr>
          <w:sz w:val="25"/>
          <w:szCs w:val="25"/>
        </w:rPr>
        <w:t>√ При проверке эффективности использования бюджетных средств на оплату труда работников ЦОУК установлены нарушения принципа эффективности, установленного статьей 34 Бюджетного кодекса РФ, согласно которому участники бюджетного процесса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К примеру:</w:t>
      </w:r>
    </w:p>
    <w:p w:rsidR="00AB749E" w:rsidRPr="006A72FF" w:rsidRDefault="00AB749E" w:rsidP="00AB749E">
      <w:pPr>
        <w:spacing w:line="240" w:lineRule="exact"/>
        <w:ind w:firstLine="709"/>
        <w:jc w:val="both"/>
        <w:rPr>
          <w:sz w:val="25"/>
          <w:szCs w:val="25"/>
        </w:rPr>
      </w:pPr>
      <w:r w:rsidRPr="006A72FF">
        <w:rPr>
          <w:sz w:val="25"/>
          <w:szCs w:val="25"/>
        </w:rPr>
        <w:t>* Оплата труда в выходной день сотрудникам АУП произведена в двойном размере оклада с учетом постоянных выплат и надбавок в нарушение статьи 153 Трудового кодекса РФ и пункта 9.3. Положении об оплате труда работников. Общая сумма переплаты по 3-м сотрудникам составила 5 131,09 руб.</w:t>
      </w:r>
    </w:p>
    <w:p w:rsidR="00AB749E" w:rsidRPr="006A72FF" w:rsidRDefault="00AB749E" w:rsidP="00AB749E">
      <w:pPr>
        <w:spacing w:line="240" w:lineRule="exact"/>
        <w:ind w:firstLine="709"/>
        <w:jc w:val="both"/>
        <w:rPr>
          <w:sz w:val="25"/>
          <w:szCs w:val="25"/>
        </w:rPr>
      </w:pPr>
      <w:r w:rsidRPr="006A72FF">
        <w:rPr>
          <w:sz w:val="25"/>
          <w:szCs w:val="25"/>
        </w:rPr>
        <w:t>* Необоснованно заключены трудовые договоры на работу по совместительству с особенностями режима работы: дистанционно, с режимом работы с 18.00-20.00 – с 2 сотрудниками по должности на ведущего экономиста для ведения статистической и налоговой отчетности (2 чел. * 0,25 ставки) – в нарушение статей 312.3 Трудового кодекса РФ, раздела 5 Правил внутреннего трудового распорядка, пункта 2.4.9 трудового договора от 02.09.2020 с директором ЦОУК.</w:t>
      </w:r>
    </w:p>
    <w:p w:rsidR="00AB749E" w:rsidRPr="006A72FF" w:rsidRDefault="00AB749E" w:rsidP="00AB749E">
      <w:pPr>
        <w:spacing w:line="240" w:lineRule="exact"/>
        <w:ind w:firstLine="709"/>
        <w:jc w:val="both"/>
        <w:rPr>
          <w:sz w:val="25"/>
          <w:szCs w:val="25"/>
        </w:rPr>
      </w:pPr>
      <w:r w:rsidRPr="006A72FF">
        <w:rPr>
          <w:sz w:val="25"/>
          <w:szCs w:val="25"/>
        </w:rPr>
        <w:t>√ При проверке соблюдения при начислении заработной платы работникам Учреждения муниципальных правовых актов, Положения об оплате труда работников Учреждения и иных документов в сфере оплаты труда установлены следующие нарушения:</w:t>
      </w:r>
    </w:p>
    <w:p w:rsidR="00AB749E" w:rsidRPr="006A72FF" w:rsidRDefault="00AB749E" w:rsidP="00AB749E">
      <w:pPr>
        <w:spacing w:line="240" w:lineRule="exact"/>
        <w:ind w:firstLine="709"/>
        <w:jc w:val="both"/>
        <w:rPr>
          <w:sz w:val="25"/>
          <w:szCs w:val="25"/>
        </w:rPr>
      </w:pPr>
      <w:r w:rsidRPr="006A72FF">
        <w:rPr>
          <w:sz w:val="25"/>
          <w:szCs w:val="25"/>
        </w:rPr>
        <w:t xml:space="preserve">* Ежемесячные надбавки за интенсивность в 2021 году назначены работникам при отсутствии приказов директора – в нарушение пункта 6.15. Положения о составе и порядке деятельности оценочной комиссии МКУ «ЦОУК», утв. приказом Комитета культуры от 30.05.2014 № 25, и </w:t>
      </w:r>
      <w:proofErr w:type="spellStart"/>
      <w:r w:rsidRPr="006A72FF">
        <w:rPr>
          <w:sz w:val="25"/>
          <w:szCs w:val="25"/>
        </w:rPr>
        <w:t>пп</w:t>
      </w:r>
      <w:proofErr w:type="spellEnd"/>
      <w:r w:rsidRPr="006A72FF">
        <w:rPr>
          <w:sz w:val="25"/>
          <w:szCs w:val="25"/>
        </w:rPr>
        <w:t>. 5.7-5.8 Устава Учреждения.</w:t>
      </w:r>
    </w:p>
    <w:p w:rsidR="00AB749E" w:rsidRPr="006A72FF" w:rsidRDefault="00AB749E" w:rsidP="00AB749E">
      <w:pPr>
        <w:spacing w:line="240" w:lineRule="exact"/>
        <w:ind w:firstLine="709"/>
        <w:jc w:val="both"/>
        <w:rPr>
          <w:sz w:val="25"/>
          <w:szCs w:val="25"/>
        </w:rPr>
      </w:pPr>
      <w:r w:rsidRPr="006A72FF">
        <w:rPr>
          <w:sz w:val="25"/>
          <w:szCs w:val="25"/>
        </w:rPr>
        <w:t>* Утвержденные показатели и критерии по назначению надбавки сотрудникам АУП за интенсивность и высокие результаты работы не всегда имеют отношение к данному виду стимулирующих выплат, в некоторых случаях – показатели дублируются по другим видам надбавок, к примеру, в критериях по премированию.</w:t>
      </w:r>
    </w:p>
    <w:p w:rsidR="00AB749E" w:rsidRPr="006A72FF" w:rsidRDefault="00AB749E" w:rsidP="00AB749E">
      <w:pPr>
        <w:spacing w:line="240" w:lineRule="exact"/>
        <w:ind w:firstLine="709"/>
        <w:jc w:val="both"/>
        <w:rPr>
          <w:sz w:val="25"/>
          <w:szCs w:val="25"/>
        </w:rPr>
      </w:pPr>
      <w:r w:rsidRPr="006A72FF">
        <w:rPr>
          <w:sz w:val="25"/>
          <w:szCs w:val="25"/>
        </w:rPr>
        <w:t>* В отношении критериев для премирования: приказом Комитета культуры от 12.12.2019 № 85 необоснованно был исключен показатель для оценки эффективности деятельности работников ЦОУК: «соблюдение трудовой дисциплины и надлежащее исполнение трудовых обязанностей», установленный Положением о системе оплаты труда в муниципальных учреждениях № 1195.</w:t>
      </w:r>
    </w:p>
    <w:p w:rsidR="00AB749E" w:rsidRPr="006A72FF" w:rsidRDefault="00AB749E" w:rsidP="00AB749E">
      <w:pPr>
        <w:spacing w:line="240" w:lineRule="exact"/>
        <w:ind w:firstLine="709"/>
        <w:jc w:val="both"/>
        <w:rPr>
          <w:sz w:val="25"/>
          <w:szCs w:val="25"/>
        </w:rPr>
      </w:pPr>
      <w:r w:rsidRPr="006A72FF">
        <w:rPr>
          <w:sz w:val="25"/>
          <w:szCs w:val="25"/>
        </w:rPr>
        <w:lastRenderedPageBreak/>
        <w:t>* Система оплаты труда в ЦОУК неполностью соответствует системе оплаты труда в муниципальных учреждениях, установленной Положением №1195 в связи с тем, что премия не установлена как постоянная выплата. По факту – процент назначаемой премии в Учреждении не зависит от количества и качества вложенного труда (по требованиям статьи 132 Трудового кодекса РФ), а зависит только от суммы экономии фонда оплаты труда, что создает заинтересованность в завышении планового фонда.</w:t>
      </w:r>
    </w:p>
    <w:p w:rsidR="00AB749E" w:rsidRPr="006A72FF" w:rsidRDefault="00AB749E" w:rsidP="00AB749E">
      <w:pPr>
        <w:spacing w:line="240" w:lineRule="exact"/>
        <w:ind w:firstLine="709"/>
        <w:jc w:val="both"/>
        <w:rPr>
          <w:sz w:val="25"/>
          <w:szCs w:val="25"/>
        </w:rPr>
      </w:pPr>
      <w:r w:rsidRPr="006A72FF">
        <w:rPr>
          <w:sz w:val="25"/>
          <w:szCs w:val="25"/>
        </w:rPr>
        <w:t>В Положении об оплате труда работников Учреждения в отношении премирования: не установлен предельный размер премии, в том числе за месяц, не установлен порядок определения премиального фонда и не предусмотрено составление справок о наличии экономии фонда оплаты труда на отчетную дату.</w:t>
      </w:r>
    </w:p>
    <w:p w:rsidR="00AB749E" w:rsidRPr="006A72FF" w:rsidRDefault="00AB749E" w:rsidP="00AB749E">
      <w:pPr>
        <w:spacing w:line="240" w:lineRule="exact"/>
        <w:ind w:firstLine="709"/>
        <w:jc w:val="both"/>
        <w:rPr>
          <w:sz w:val="25"/>
          <w:szCs w:val="25"/>
        </w:rPr>
      </w:pPr>
      <w:r w:rsidRPr="006A72FF">
        <w:rPr>
          <w:sz w:val="25"/>
          <w:szCs w:val="25"/>
        </w:rPr>
        <w:t>√ При проверке организации внутреннего контроля в сфере оплаты труда в ЦОУК за качеством, объемом выполняемых работ сотрудниками, фактически отработанным временем установлены следующие нарушения:</w:t>
      </w:r>
    </w:p>
    <w:p w:rsidR="00AB749E" w:rsidRPr="006A72FF" w:rsidRDefault="00AB749E" w:rsidP="00AB749E">
      <w:pPr>
        <w:spacing w:line="240" w:lineRule="exact"/>
        <w:ind w:firstLine="709"/>
        <w:jc w:val="both"/>
        <w:rPr>
          <w:sz w:val="25"/>
          <w:szCs w:val="25"/>
        </w:rPr>
      </w:pPr>
      <w:r w:rsidRPr="006A72FF">
        <w:rPr>
          <w:sz w:val="25"/>
          <w:szCs w:val="25"/>
        </w:rPr>
        <w:t xml:space="preserve">* В некоторых трудовых договорах с работниками, имеющими постоянную регистрацию в </w:t>
      </w:r>
      <w:proofErr w:type="spellStart"/>
      <w:r w:rsidRPr="006A72FF">
        <w:rPr>
          <w:sz w:val="25"/>
          <w:szCs w:val="25"/>
        </w:rPr>
        <w:t>г.Санкт</w:t>
      </w:r>
      <w:proofErr w:type="spellEnd"/>
      <w:r w:rsidRPr="006A72FF">
        <w:rPr>
          <w:sz w:val="25"/>
          <w:szCs w:val="25"/>
        </w:rPr>
        <w:t>-Петербурге (по паспорту), не указано место фактического проживания сотрудников в Боровичском районе.</w:t>
      </w:r>
    </w:p>
    <w:p w:rsidR="00AB749E" w:rsidRPr="006A72FF" w:rsidRDefault="00AB749E" w:rsidP="00AB749E">
      <w:pPr>
        <w:spacing w:line="240" w:lineRule="exact"/>
        <w:ind w:firstLine="709"/>
        <w:jc w:val="both"/>
        <w:rPr>
          <w:sz w:val="25"/>
          <w:szCs w:val="25"/>
        </w:rPr>
      </w:pPr>
      <w:r w:rsidRPr="006A72FF">
        <w:rPr>
          <w:sz w:val="25"/>
          <w:szCs w:val="25"/>
        </w:rPr>
        <w:t>* В трудовых договорах с ведущим специалистом работе с персоналом (на 0,25 ставки), с работниками вспомогательного персонала (уборщицам, дворникам, рабочим по обслуживанию здания), оформленным не на полную ставку, не указан режим работы – в нарушение статьи 57 Трудового кодекса РФ.</w:t>
      </w:r>
    </w:p>
    <w:p w:rsidR="00AB749E" w:rsidRPr="006A72FF" w:rsidRDefault="00AB749E" w:rsidP="00AB749E">
      <w:pPr>
        <w:spacing w:line="240" w:lineRule="exact"/>
        <w:ind w:firstLine="709"/>
        <w:jc w:val="both"/>
        <w:rPr>
          <w:sz w:val="25"/>
          <w:szCs w:val="25"/>
        </w:rPr>
      </w:pPr>
      <w:r w:rsidRPr="006A72FF">
        <w:rPr>
          <w:sz w:val="25"/>
          <w:szCs w:val="25"/>
        </w:rPr>
        <w:t>* Внутренний контроль за фактической отработкой рабочего времени работниками должным образом работодателем ЦОУК не обеспечен – в нарушение статей 91 и 209 Трудового кодекса РФ.</w:t>
      </w:r>
    </w:p>
    <w:p w:rsidR="00AB749E" w:rsidRPr="006A72FF" w:rsidRDefault="00AB749E" w:rsidP="00AB749E">
      <w:pPr>
        <w:spacing w:line="240" w:lineRule="exact"/>
        <w:ind w:firstLine="709"/>
        <w:jc w:val="both"/>
        <w:rPr>
          <w:sz w:val="25"/>
          <w:szCs w:val="25"/>
        </w:rPr>
      </w:pPr>
      <w:r w:rsidRPr="006A72FF">
        <w:rPr>
          <w:sz w:val="25"/>
          <w:szCs w:val="25"/>
        </w:rPr>
        <w:t xml:space="preserve">Повышающий коэффициент (0.2) к окладу директора ЦОУК установлен формально за наличие штатной численности сотрудников учреждения от 61 штатной единицы и более (по условиям раздела 3 постановления Администрации БМР от 01.03.2021 № 432). Кроме того, в период с мая по сентябрь каждого года в штатном расписании ставки кочегаров числятся вакантными, к примеру, в штатном расписании по сост. на 01.08.2022 – 27 ставок кочегаров + 0,5 ставки истопника. </w:t>
      </w:r>
    </w:p>
    <w:p w:rsidR="00AB749E" w:rsidRPr="006A72FF" w:rsidRDefault="00AB749E" w:rsidP="00AB749E">
      <w:pPr>
        <w:spacing w:line="240" w:lineRule="exact"/>
        <w:ind w:firstLine="709"/>
        <w:jc w:val="both"/>
        <w:rPr>
          <w:sz w:val="25"/>
          <w:szCs w:val="25"/>
        </w:rPr>
      </w:pPr>
      <w:r w:rsidRPr="006A72FF">
        <w:rPr>
          <w:sz w:val="25"/>
          <w:szCs w:val="25"/>
        </w:rPr>
        <w:t>Имеются признаки конфликта интересов при формировании штата Учреждения, в том числе с вакансиями работников АУП и вспомогательного персонала, без учета размера убираемой площади - при определении размера ставок уборщиков и дворников.</w:t>
      </w:r>
    </w:p>
    <w:p w:rsidR="00AB749E" w:rsidRPr="006A72FF" w:rsidRDefault="00AB749E" w:rsidP="00AB749E">
      <w:pPr>
        <w:spacing w:line="240" w:lineRule="exact"/>
        <w:ind w:firstLine="709"/>
        <w:jc w:val="both"/>
        <w:rPr>
          <w:sz w:val="25"/>
          <w:szCs w:val="25"/>
        </w:rPr>
      </w:pPr>
      <w:r w:rsidRPr="006A72FF">
        <w:rPr>
          <w:sz w:val="25"/>
          <w:szCs w:val="25"/>
        </w:rPr>
        <w:t>* На должностных инструкциях по должностям/профессиям отсутствует дата утверждения инструкции; подписи сотрудников АУП в ознакомлении с инструкцией не расшифрованы - в большинстве, даты ознакомления отсутствуют. В инструкциях по профессиям рабочих под роспись работники с инструкцией не ознакомлены – в нарушение статьи 22 Трудового кодекса.</w:t>
      </w:r>
    </w:p>
    <w:p w:rsidR="00AB749E" w:rsidRPr="006A72FF" w:rsidRDefault="00AB749E" w:rsidP="00AB749E">
      <w:pPr>
        <w:spacing w:line="240" w:lineRule="exact"/>
        <w:ind w:firstLine="709"/>
        <w:jc w:val="both"/>
        <w:rPr>
          <w:sz w:val="25"/>
          <w:szCs w:val="25"/>
        </w:rPr>
      </w:pPr>
      <w:r w:rsidRPr="006A72FF">
        <w:rPr>
          <w:sz w:val="25"/>
          <w:szCs w:val="25"/>
        </w:rPr>
        <w:t xml:space="preserve">Четкое разделение обязанностей по должностным инструкциям сотрудников АУП не установлено, функции дублируются, в большинстве случаев не указано по каким обслуживаемым учреждениям должны осуществляться обязанности. </w:t>
      </w:r>
    </w:p>
    <w:p w:rsidR="00AB749E" w:rsidRPr="006A72FF" w:rsidRDefault="00AB749E" w:rsidP="00AB749E">
      <w:pPr>
        <w:spacing w:line="240" w:lineRule="exact"/>
        <w:ind w:firstLine="709"/>
        <w:jc w:val="both"/>
        <w:rPr>
          <w:sz w:val="25"/>
          <w:szCs w:val="25"/>
        </w:rPr>
      </w:pPr>
      <w:r w:rsidRPr="006A72FF">
        <w:rPr>
          <w:sz w:val="25"/>
          <w:szCs w:val="25"/>
        </w:rPr>
        <w:t xml:space="preserve"> √ В нарушение пункта 2 статьи 270.2 Бюджетного кодекса РФ не исполнено представление Комитета финансов от 21.11.2019 № 869, направленное в адрес главного распорядителя бюджетных средств - Комитета культуры с требованием проведения в подведомственных учреждениях, в том числе в ЦОУК, ряда мероприятий, среди которых:</w:t>
      </w:r>
    </w:p>
    <w:p w:rsidR="00AB749E" w:rsidRPr="006A72FF" w:rsidRDefault="00AB749E" w:rsidP="00AB749E">
      <w:pPr>
        <w:spacing w:line="240" w:lineRule="exact"/>
        <w:ind w:firstLine="709"/>
        <w:jc w:val="both"/>
        <w:rPr>
          <w:sz w:val="25"/>
          <w:szCs w:val="25"/>
        </w:rPr>
      </w:pPr>
      <w:r w:rsidRPr="006A72FF">
        <w:rPr>
          <w:sz w:val="25"/>
          <w:szCs w:val="25"/>
        </w:rPr>
        <w:t>- приведение Положения об оплате труда работников учреждения в соответствие с муниципальной правовой базой в сфере оплаты труда;</w:t>
      </w:r>
    </w:p>
    <w:p w:rsidR="00AB749E" w:rsidRPr="006A72FF" w:rsidRDefault="00AB749E" w:rsidP="00AB749E">
      <w:pPr>
        <w:spacing w:line="240" w:lineRule="exact"/>
        <w:ind w:firstLine="709"/>
        <w:jc w:val="both"/>
        <w:rPr>
          <w:sz w:val="25"/>
          <w:szCs w:val="25"/>
        </w:rPr>
      </w:pPr>
      <w:r w:rsidRPr="006A72FF">
        <w:rPr>
          <w:sz w:val="25"/>
          <w:szCs w:val="25"/>
        </w:rPr>
        <w:t>- оптимизация штатного расписания с учетом нормирования труда;</w:t>
      </w:r>
    </w:p>
    <w:p w:rsidR="00AB749E" w:rsidRPr="006A72FF" w:rsidRDefault="00AB749E" w:rsidP="00AB749E">
      <w:pPr>
        <w:spacing w:line="240" w:lineRule="exact"/>
        <w:ind w:firstLine="709"/>
        <w:jc w:val="both"/>
        <w:rPr>
          <w:sz w:val="25"/>
          <w:szCs w:val="25"/>
        </w:rPr>
      </w:pPr>
      <w:r w:rsidRPr="006A72FF">
        <w:rPr>
          <w:sz w:val="25"/>
          <w:szCs w:val="25"/>
        </w:rPr>
        <w:t>- документальное обоснование целесообразности включения в штат ставок отдельных профессий, должностей и определению их количества, документальному подтверждению убираемой площади уборщиками и дворниками и иных расчетных показателей.</w:t>
      </w:r>
    </w:p>
    <w:p w:rsidR="00AB749E" w:rsidRPr="006A72FF" w:rsidRDefault="00AB749E" w:rsidP="00AB749E">
      <w:pPr>
        <w:spacing w:line="240" w:lineRule="exact"/>
        <w:ind w:firstLine="709"/>
        <w:jc w:val="both"/>
        <w:rPr>
          <w:sz w:val="25"/>
          <w:szCs w:val="25"/>
        </w:rPr>
      </w:pPr>
      <w:r w:rsidRPr="006A72FF">
        <w:rPr>
          <w:sz w:val="25"/>
          <w:szCs w:val="25"/>
        </w:rPr>
        <w:t>√ При проверке целевого использования и эффективности расходования бюджетных средств на закупки товаров, работ, услуг, установлены следующие нарушения:</w:t>
      </w:r>
    </w:p>
    <w:p w:rsidR="00AB749E" w:rsidRPr="006A72FF" w:rsidRDefault="00AB749E" w:rsidP="00AB749E">
      <w:pPr>
        <w:spacing w:line="240" w:lineRule="exact"/>
        <w:ind w:firstLine="709"/>
        <w:jc w:val="both"/>
        <w:rPr>
          <w:sz w:val="25"/>
          <w:szCs w:val="25"/>
        </w:rPr>
      </w:pPr>
      <w:r w:rsidRPr="006A72FF">
        <w:rPr>
          <w:sz w:val="25"/>
          <w:szCs w:val="25"/>
        </w:rPr>
        <w:t xml:space="preserve">* Отсутствуют документально оформленные расчеты начальной (максимальной) цены контракта (НМЦК); коммерческие предложения потенциальных поставщиков, содержащих информацию о цене, не зарегистрированы в делопроизводстве ЦОУК – в нарушение пунктов 2.2.8, 3.12 Методических рекомендаций по применению методов определения НМЦК, цены контракта, заключаемого с единственным поставщиком (подрядчиком, исполнителем), утв. Приказом Минэкономразвития РФ от 02.10.2013 № 567. </w:t>
      </w:r>
    </w:p>
    <w:p w:rsidR="00AB749E" w:rsidRPr="006A72FF" w:rsidRDefault="00AB749E" w:rsidP="00AB749E">
      <w:pPr>
        <w:spacing w:line="240" w:lineRule="exact"/>
        <w:ind w:firstLine="709"/>
        <w:jc w:val="both"/>
        <w:rPr>
          <w:sz w:val="25"/>
          <w:szCs w:val="25"/>
        </w:rPr>
      </w:pPr>
      <w:r w:rsidRPr="006A72FF">
        <w:rPr>
          <w:sz w:val="25"/>
          <w:szCs w:val="25"/>
        </w:rPr>
        <w:t xml:space="preserve">* Заключены контракты от 02.12.2020 на общую сумму 62576 руб. по закупкам процессоров, комплектующих, программного обеспечения - без проведения закупки в электронной форме и использования региональной автоматизированной информационной системы «Портал поставщиков» – в нарушение пунктов 5, 11 Порядка осуществления закупок малого объема с использованием специализированных электронных ресурсов, утв. </w:t>
      </w:r>
      <w:r w:rsidRPr="006A72FF">
        <w:rPr>
          <w:sz w:val="25"/>
          <w:szCs w:val="25"/>
        </w:rPr>
        <w:lastRenderedPageBreak/>
        <w:t>постановлением Администрации БМР от 02.08.2019 № 2442, части 9 статьи 4 Федерального закона "О контрактной системе в сфере закупок" N 44-ФЗ от 05.04.2013.</w:t>
      </w:r>
    </w:p>
    <w:p w:rsidR="00AB749E" w:rsidRPr="006A72FF" w:rsidRDefault="00AB749E" w:rsidP="00AB749E">
      <w:pPr>
        <w:spacing w:line="240" w:lineRule="exact"/>
        <w:ind w:firstLine="709"/>
        <w:jc w:val="both"/>
        <w:rPr>
          <w:sz w:val="25"/>
          <w:szCs w:val="25"/>
        </w:rPr>
      </w:pPr>
      <w:r w:rsidRPr="006A72FF">
        <w:rPr>
          <w:sz w:val="25"/>
          <w:szCs w:val="25"/>
        </w:rPr>
        <w:t>* Перед заключением контрактов с единственным поставщиком не всегда проводился анализ рынка с целью выявления наиболее выгодного предложения и экономии бюджетных средств – в нарушение части 1 статьи 22 и статьи 12 Федерального закона "О контрактной системе в сфере закупок" N 44-ФЗ от 05.04.2013.</w:t>
      </w:r>
    </w:p>
    <w:p w:rsidR="00AB749E" w:rsidRPr="006A72FF" w:rsidRDefault="00AB749E" w:rsidP="00AB749E">
      <w:pPr>
        <w:spacing w:line="180" w:lineRule="exact"/>
        <w:ind w:firstLine="709"/>
        <w:jc w:val="both"/>
        <w:rPr>
          <w:sz w:val="25"/>
          <w:szCs w:val="25"/>
        </w:rPr>
      </w:pPr>
    </w:p>
    <w:p w:rsidR="00AB749E" w:rsidRPr="006A72FF" w:rsidRDefault="00AB749E" w:rsidP="00AB749E">
      <w:pPr>
        <w:spacing w:line="240" w:lineRule="exact"/>
        <w:ind w:firstLine="709"/>
        <w:jc w:val="both"/>
        <w:rPr>
          <w:sz w:val="25"/>
          <w:szCs w:val="25"/>
        </w:rPr>
      </w:pPr>
      <w:r w:rsidRPr="00115F34">
        <w:rPr>
          <w:sz w:val="25"/>
          <w:szCs w:val="25"/>
        </w:rPr>
        <w:t xml:space="preserve">Приказом Комитета финансов Администрации БМР от 30.01.2023 № </w:t>
      </w:r>
      <w:r w:rsidR="00115F34" w:rsidRPr="00115F34">
        <w:rPr>
          <w:sz w:val="25"/>
          <w:szCs w:val="25"/>
        </w:rPr>
        <w:t>4</w:t>
      </w:r>
      <w:r w:rsidRPr="00115F34">
        <w:rPr>
          <w:sz w:val="25"/>
          <w:szCs w:val="25"/>
        </w:rPr>
        <w:t xml:space="preserve"> принято решение о вынесении МКУ «ЦОУК» Предписания о возмещении ущерба местном</w:t>
      </w:r>
      <w:r w:rsidRPr="006A72FF">
        <w:rPr>
          <w:sz w:val="25"/>
          <w:szCs w:val="25"/>
        </w:rPr>
        <w:t>у бюджету и Представления об устранении нарушений и принятии мер по устранению причин и условий нарушений (в срок до 01 апреля 2023г.). Также направлены Представления об устранении нарушений и принятии мер по устранению причин и условий нарушений: Комитету культуры Администрации БМР (как главному распорядителю бюджетных средств</w:t>
      </w:r>
      <w:r w:rsidR="00115F34">
        <w:rPr>
          <w:sz w:val="25"/>
          <w:szCs w:val="25"/>
        </w:rPr>
        <w:t>)</w:t>
      </w:r>
      <w:r w:rsidRPr="006A72FF">
        <w:rPr>
          <w:sz w:val="25"/>
          <w:szCs w:val="25"/>
        </w:rPr>
        <w:t xml:space="preserve"> и Администрации БМР (как учредителю)</w:t>
      </w:r>
      <w:r w:rsidR="00302F65">
        <w:rPr>
          <w:sz w:val="25"/>
          <w:szCs w:val="25"/>
        </w:rPr>
        <w:t>,</w:t>
      </w:r>
      <w:r w:rsidRPr="006A72FF">
        <w:rPr>
          <w:sz w:val="25"/>
          <w:szCs w:val="25"/>
        </w:rPr>
        <w:t xml:space="preserve"> срок исполнения Представлений – </w:t>
      </w:r>
      <w:r w:rsidR="00115F34">
        <w:rPr>
          <w:sz w:val="25"/>
          <w:szCs w:val="25"/>
        </w:rPr>
        <w:t xml:space="preserve">                 </w:t>
      </w:r>
      <w:bookmarkStart w:id="1" w:name="_GoBack"/>
      <w:bookmarkEnd w:id="1"/>
      <w:r w:rsidRPr="006A72FF">
        <w:rPr>
          <w:sz w:val="25"/>
          <w:szCs w:val="25"/>
        </w:rPr>
        <w:t>до 01 апреля 2023г.</w:t>
      </w:r>
    </w:p>
    <w:bookmarkEnd w:id="0"/>
    <w:p w:rsidR="00EB53FD" w:rsidRDefault="0072460E" w:rsidP="0072460E">
      <w:pPr>
        <w:spacing w:line="300" w:lineRule="exact"/>
        <w:jc w:val="center"/>
        <w:rPr>
          <w:sz w:val="27"/>
          <w:szCs w:val="27"/>
          <w:lang w:eastAsia="zh-CN"/>
        </w:rPr>
      </w:pPr>
      <w:r>
        <w:rPr>
          <w:sz w:val="27"/>
          <w:szCs w:val="27"/>
          <w:lang w:eastAsia="zh-CN"/>
        </w:rPr>
        <w:t>_______________________</w:t>
      </w:r>
      <w:r w:rsidR="00EB53FD" w:rsidRPr="0072460E">
        <w:rPr>
          <w:sz w:val="27"/>
          <w:szCs w:val="27"/>
          <w:lang w:eastAsia="zh-CN"/>
        </w:rPr>
        <w:t>__</w:t>
      </w:r>
    </w:p>
    <w:p w:rsidR="0072460E" w:rsidRPr="0072460E" w:rsidRDefault="0072460E" w:rsidP="0072460E">
      <w:pPr>
        <w:spacing w:line="260" w:lineRule="exact"/>
        <w:jc w:val="both"/>
        <w:rPr>
          <w:sz w:val="27"/>
          <w:szCs w:val="27"/>
          <w:lang w:eastAsia="zh-CN"/>
        </w:rPr>
      </w:pPr>
    </w:p>
    <w:sectPr w:rsidR="0072460E" w:rsidRPr="0072460E" w:rsidSect="002A7ADD">
      <w:footerReference w:type="default" r:id="rId6"/>
      <w:pgSz w:w="11906" w:h="16838" w:code="9"/>
      <w:pgMar w:top="851" w:right="510" w:bottom="567"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786" w:rsidRDefault="004E4786" w:rsidP="0072460E">
      <w:r>
        <w:separator/>
      </w:r>
    </w:p>
  </w:endnote>
  <w:endnote w:type="continuationSeparator" w:id="0">
    <w:p w:rsidR="004E4786" w:rsidRDefault="004E4786" w:rsidP="0072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352"/>
      <w:docPartObj>
        <w:docPartGallery w:val="Page Numbers (Bottom of Page)"/>
        <w:docPartUnique/>
      </w:docPartObj>
    </w:sdtPr>
    <w:sdtEndPr/>
    <w:sdtContent>
      <w:p w:rsidR="0072460E" w:rsidRDefault="0072460E">
        <w:pPr>
          <w:pStyle w:val="a5"/>
          <w:jc w:val="right"/>
        </w:pPr>
        <w:r>
          <w:fldChar w:fldCharType="begin"/>
        </w:r>
        <w:r>
          <w:instrText>PAGE   \* MERGEFORMAT</w:instrText>
        </w:r>
        <w:r>
          <w:fldChar w:fldCharType="separate"/>
        </w:r>
        <w:r w:rsidR="00AB749E">
          <w:rPr>
            <w:noProof/>
          </w:rPr>
          <w:t>2</w:t>
        </w:r>
        <w:r>
          <w:fldChar w:fldCharType="end"/>
        </w:r>
      </w:p>
    </w:sdtContent>
  </w:sdt>
  <w:p w:rsidR="0072460E" w:rsidRDefault="007246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786" w:rsidRDefault="004E4786" w:rsidP="0072460E">
      <w:r>
        <w:separator/>
      </w:r>
    </w:p>
  </w:footnote>
  <w:footnote w:type="continuationSeparator" w:id="0">
    <w:p w:rsidR="004E4786" w:rsidRDefault="004E4786" w:rsidP="00724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FB3"/>
    <w:rsid w:val="00113966"/>
    <w:rsid w:val="00115F34"/>
    <w:rsid w:val="00153D6F"/>
    <w:rsid w:val="001A0330"/>
    <w:rsid w:val="001F0951"/>
    <w:rsid w:val="002A7ADD"/>
    <w:rsid w:val="002F01CE"/>
    <w:rsid w:val="00302F65"/>
    <w:rsid w:val="0033281B"/>
    <w:rsid w:val="004E4786"/>
    <w:rsid w:val="005C246B"/>
    <w:rsid w:val="006B50C8"/>
    <w:rsid w:val="00717C04"/>
    <w:rsid w:val="0072460E"/>
    <w:rsid w:val="00783FB3"/>
    <w:rsid w:val="008157AE"/>
    <w:rsid w:val="008244C6"/>
    <w:rsid w:val="008B66C7"/>
    <w:rsid w:val="009507C9"/>
    <w:rsid w:val="009C32B4"/>
    <w:rsid w:val="009E316B"/>
    <w:rsid w:val="00AA6D98"/>
    <w:rsid w:val="00AB749E"/>
    <w:rsid w:val="00C64E94"/>
    <w:rsid w:val="00C77B08"/>
    <w:rsid w:val="00CE51E1"/>
    <w:rsid w:val="00D13ECC"/>
    <w:rsid w:val="00D92C89"/>
    <w:rsid w:val="00DB1D34"/>
    <w:rsid w:val="00DD61F3"/>
    <w:rsid w:val="00E431B4"/>
    <w:rsid w:val="00EB53FD"/>
    <w:rsid w:val="00EE1876"/>
    <w:rsid w:val="00F83CEF"/>
    <w:rsid w:val="00FA000C"/>
    <w:rsid w:val="00FA3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AD6F"/>
  <w15:docId w15:val="{AE1E0F8E-B908-48F0-8E8E-9C130CF9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F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0E"/>
    <w:pPr>
      <w:tabs>
        <w:tab w:val="center" w:pos="4677"/>
        <w:tab w:val="right" w:pos="9355"/>
      </w:tabs>
    </w:pPr>
  </w:style>
  <w:style w:type="character" w:customStyle="1" w:styleId="a4">
    <w:name w:val="Верхний колонтитул Знак"/>
    <w:basedOn w:val="a0"/>
    <w:link w:val="a3"/>
    <w:uiPriority w:val="99"/>
    <w:rsid w:val="0072460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2460E"/>
    <w:pPr>
      <w:tabs>
        <w:tab w:val="center" w:pos="4677"/>
        <w:tab w:val="right" w:pos="9355"/>
      </w:tabs>
    </w:pPr>
  </w:style>
  <w:style w:type="character" w:customStyle="1" w:styleId="a6">
    <w:name w:val="Нижний колонтитул Знак"/>
    <w:basedOn w:val="a0"/>
    <w:link w:val="a5"/>
    <w:uiPriority w:val="99"/>
    <w:rsid w:val="007246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28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2848</Words>
  <Characters>16239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Юрьевна Дмитриева</dc:creator>
  <cp:lastModifiedBy>Виктория Владимировна Силантьева</cp:lastModifiedBy>
  <cp:revision>8</cp:revision>
  <dcterms:created xsi:type="dcterms:W3CDTF">2023-01-19T06:07:00Z</dcterms:created>
  <dcterms:modified xsi:type="dcterms:W3CDTF">2023-03-13T06:33:00Z</dcterms:modified>
</cp:coreProperties>
</file>