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C3" w:rsidRDefault="00C7038D" w:rsidP="00D831C3">
      <w:pPr>
        <w:spacing w:line="300" w:lineRule="exact"/>
        <w:jc w:val="center"/>
        <w:rPr>
          <w:b/>
          <w:sz w:val="28"/>
          <w:szCs w:val="28"/>
        </w:rPr>
      </w:pPr>
      <w:r w:rsidRPr="008C7EA8">
        <w:rPr>
          <w:b/>
          <w:sz w:val="28"/>
          <w:szCs w:val="28"/>
        </w:rPr>
        <w:t>Информация о результатах</w:t>
      </w:r>
      <w:r>
        <w:rPr>
          <w:b/>
          <w:sz w:val="28"/>
          <w:szCs w:val="28"/>
        </w:rPr>
        <w:t xml:space="preserve"> плановой камеральной проверки</w:t>
      </w:r>
    </w:p>
    <w:p w:rsidR="00D831C3" w:rsidRDefault="00A95878" w:rsidP="00D831C3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7038D" w:rsidRPr="00BF2A3B">
        <w:rPr>
          <w:b/>
          <w:sz w:val="28"/>
          <w:szCs w:val="28"/>
        </w:rPr>
        <w:t>в М</w:t>
      </w:r>
      <w:r w:rsidR="0027754B">
        <w:rPr>
          <w:b/>
          <w:sz w:val="28"/>
          <w:szCs w:val="28"/>
        </w:rPr>
        <w:t>БУК</w:t>
      </w:r>
      <w:r w:rsidR="00C7038D" w:rsidRPr="00BF2A3B">
        <w:rPr>
          <w:b/>
          <w:sz w:val="28"/>
          <w:szCs w:val="28"/>
        </w:rPr>
        <w:t xml:space="preserve"> «</w:t>
      </w:r>
      <w:r w:rsidR="0027754B">
        <w:rPr>
          <w:b/>
          <w:sz w:val="28"/>
          <w:szCs w:val="28"/>
        </w:rPr>
        <w:t>Центр культурного развития «Боровичи»</w:t>
      </w:r>
      <w:r w:rsidR="00C7038D" w:rsidRPr="00BF2A3B">
        <w:rPr>
          <w:b/>
          <w:sz w:val="28"/>
          <w:szCs w:val="28"/>
        </w:rPr>
        <w:t>»</w:t>
      </w:r>
    </w:p>
    <w:p w:rsidR="00C7038D" w:rsidRPr="004077C8" w:rsidRDefault="00D831C3" w:rsidP="00D831C3">
      <w:pPr>
        <w:spacing w:line="300" w:lineRule="exact"/>
        <w:jc w:val="center"/>
        <w:rPr>
          <w:b/>
          <w:i/>
          <w:sz w:val="28"/>
          <w:szCs w:val="28"/>
        </w:rPr>
      </w:pPr>
      <w:r w:rsidRPr="004077C8">
        <w:rPr>
          <w:b/>
          <w:i/>
          <w:sz w:val="28"/>
          <w:szCs w:val="28"/>
        </w:rPr>
        <w:t xml:space="preserve">в сфере учредительского контроля </w:t>
      </w:r>
      <w:r w:rsidR="00C7038D" w:rsidRPr="004077C8">
        <w:rPr>
          <w:b/>
          <w:i/>
          <w:sz w:val="28"/>
          <w:szCs w:val="28"/>
        </w:rPr>
        <w:t xml:space="preserve">  </w:t>
      </w:r>
    </w:p>
    <w:p w:rsidR="00C7038D" w:rsidRPr="004077C8" w:rsidRDefault="00C7038D" w:rsidP="00C7038D">
      <w:pPr>
        <w:jc w:val="center"/>
        <w:rPr>
          <w:b/>
          <w:i/>
          <w:sz w:val="28"/>
          <w:szCs w:val="28"/>
        </w:rPr>
      </w:pPr>
    </w:p>
    <w:p w:rsidR="00C7038D" w:rsidRPr="00D831C3" w:rsidRDefault="00C7038D" w:rsidP="00D831C3">
      <w:pPr>
        <w:spacing w:line="260" w:lineRule="exact"/>
        <w:ind w:firstLine="709"/>
        <w:jc w:val="both"/>
        <w:rPr>
          <w:b/>
          <w:sz w:val="27"/>
          <w:szCs w:val="27"/>
        </w:rPr>
      </w:pPr>
      <w:r w:rsidRPr="00D831C3">
        <w:rPr>
          <w:sz w:val="27"/>
          <w:szCs w:val="27"/>
        </w:rPr>
        <w:t xml:space="preserve">Комитетом финансов Администрации Боровичского муниципального района проведена плановая камеральная проверка в </w:t>
      </w:r>
      <w:r w:rsidR="0027754B" w:rsidRPr="00D831C3">
        <w:rPr>
          <w:sz w:val="27"/>
          <w:szCs w:val="27"/>
        </w:rPr>
        <w:t>МБУК «Центр культурного развития «Боровичи»»</w:t>
      </w:r>
      <w:r w:rsidR="0027754B" w:rsidRPr="00D831C3">
        <w:rPr>
          <w:b/>
          <w:sz w:val="27"/>
          <w:szCs w:val="27"/>
        </w:rPr>
        <w:t xml:space="preserve"> </w:t>
      </w:r>
      <w:r w:rsidRPr="00D831C3">
        <w:rPr>
          <w:sz w:val="27"/>
          <w:szCs w:val="27"/>
        </w:rPr>
        <w:t>(далее – Учреждение) по теме: «</w:t>
      </w:r>
      <w:r w:rsidR="0027754B" w:rsidRPr="00D831C3">
        <w:rPr>
          <w:sz w:val="27"/>
          <w:szCs w:val="27"/>
        </w:rPr>
        <w:t>Достоверность учета и отчетности по доходам от приносящей доход деятельности</w:t>
      </w:r>
      <w:r w:rsidRPr="00D831C3">
        <w:rPr>
          <w:sz w:val="27"/>
          <w:szCs w:val="27"/>
        </w:rPr>
        <w:t>» за проверяемый период с 01.01.2020г.-31.0</w:t>
      </w:r>
      <w:r w:rsidR="0027754B" w:rsidRPr="00D831C3">
        <w:rPr>
          <w:sz w:val="27"/>
          <w:szCs w:val="27"/>
        </w:rPr>
        <w:t>8</w:t>
      </w:r>
      <w:r w:rsidRPr="00D831C3">
        <w:rPr>
          <w:sz w:val="27"/>
          <w:szCs w:val="27"/>
        </w:rPr>
        <w:t>.2021г. (Акт № 1</w:t>
      </w:r>
      <w:r w:rsidR="0027754B" w:rsidRPr="00D831C3">
        <w:rPr>
          <w:sz w:val="27"/>
          <w:szCs w:val="27"/>
        </w:rPr>
        <w:t>3</w:t>
      </w:r>
      <w:r w:rsidRPr="00D831C3">
        <w:rPr>
          <w:sz w:val="27"/>
          <w:szCs w:val="27"/>
        </w:rPr>
        <w:t xml:space="preserve"> от </w:t>
      </w:r>
      <w:r w:rsidR="0027754B" w:rsidRPr="00D831C3">
        <w:rPr>
          <w:sz w:val="27"/>
          <w:szCs w:val="27"/>
        </w:rPr>
        <w:t>17</w:t>
      </w:r>
      <w:r w:rsidRPr="00D831C3">
        <w:rPr>
          <w:sz w:val="27"/>
          <w:szCs w:val="27"/>
        </w:rPr>
        <w:t>.</w:t>
      </w:r>
      <w:r w:rsidR="0027754B" w:rsidRPr="00D831C3">
        <w:rPr>
          <w:sz w:val="27"/>
          <w:szCs w:val="27"/>
        </w:rPr>
        <w:t>11</w:t>
      </w:r>
      <w:r w:rsidRPr="00D831C3">
        <w:rPr>
          <w:sz w:val="27"/>
          <w:szCs w:val="27"/>
        </w:rPr>
        <w:t>.2021г.).</w:t>
      </w:r>
    </w:p>
    <w:p w:rsidR="0027754B" w:rsidRPr="00D831C3" w:rsidRDefault="0027754B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 xml:space="preserve">В ходе проверки установлены нарушения Бюджетного кодекса РФ, Гражданского кодекса РФ, Федерального закона "О бухгалтерском учете" № 402-ФЗ от 06.12.2011г., а также иные недостатки ведения финансово-хозяйственной деятельности при исполнении бюджета городского поселения города Боровичи. 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i/>
          <w:sz w:val="27"/>
          <w:szCs w:val="27"/>
        </w:rPr>
      </w:pPr>
      <w:r w:rsidRPr="00D831C3">
        <w:rPr>
          <w:i/>
          <w:sz w:val="27"/>
          <w:szCs w:val="27"/>
        </w:rPr>
        <w:t xml:space="preserve">По вопросу «Достоверность учета и отчетности по доходам от предпринимательской деятельности» </w:t>
      </w:r>
      <w:r>
        <w:rPr>
          <w:i/>
          <w:sz w:val="27"/>
          <w:szCs w:val="27"/>
        </w:rPr>
        <w:t>среди основных нарушений</w:t>
      </w:r>
      <w:r w:rsidRPr="00D831C3">
        <w:rPr>
          <w:i/>
          <w:sz w:val="27"/>
          <w:szCs w:val="27"/>
        </w:rPr>
        <w:t xml:space="preserve"> следующие</w:t>
      </w:r>
      <w:r>
        <w:rPr>
          <w:i/>
          <w:sz w:val="27"/>
          <w:szCs w:val="27"/>
        </w:rPr>
        <w:t>: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>* Не отражены доходы от условных арендных платежей на сумму 165,6тыс</w:t>
      </w:r>
      <w:proofErr w:type="gramStart"/>
      <w:r w:rsidRPr="00D831C3">
        <w:rPr>
          <w:sz w:val="27"/>
          <w:szCs w:val="27"/>
        </w:rPr>
        <w:t>.р</w:t>
      </w:r>
      <w:proofErr w:type="gramEnd"/>
      <w:r w:rsidRPr="00D831C3">
        <w:rPr>
          <w:sz w:val="27"/>
          <w:szCs w:val="27"/>
        </w:rPr>
        <w:t xml:space="preserve">уб. в Отчете о финансовых результатах деятельности учреждения (ф.0503721) за 2020 год – в нарушение пункта 9.3.5. Порядка применения классификации операций сектора государственного управления, утв. Приказом Минфина России от 29.11.2017 </w:t>
      </w:r>
      <w:r w:rsidR="0093378A">
        <w:rPr>
          <w:sz w:val="27"/>
          <w:szCs w:val="27"/>
        </w:rPr>
        <w:t>№</w:t>
      </w:r>
      <w:r w:rsidRPr="00D831C3">
        <w:rPr>
          <w:sz w:val="27"/>
          <w:szCs w:val="27"/>
        </w:rPr>
        <w:t>209н.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>* Не подтверждена расчетами полнота возмещения расходов по коммунальным услугам, осуществленного арендаторами фойе 1 этажа. За ноябрь-декабрь 2020 Учреждением не предъявлены арендатору к возмещению коммунальные расходы.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 xml:space="preserve">* Не получено согласие собственника имущества (учредителя) при предоставлении недвижимого имущества, в том числе земельного участка, в пользование индивидуальным предпринимателям и юридическим лицам – в нарушение пункта 3.5. Устава Учреждения и пункта 10 статьи 9.2. Федерального закона от 12.01.1996 </w:t>
      </w:r>
      <w:r w:rsidR="0093378A">
        <w:rPr>
          <w:sz w:val="27"/>
          <w:szCs w:val="27"/>
        </w:rPr>
        <w:t>№</w:t>
      </w:r>
      <w:r w:rsidRPr="00D831C3">
        <w:rPr>
          <w:sz w:val="27"/>
          <w:szCs w:val="27"/>
        </w:rPr>
        <w:t>7-ФЗ "О некоммерческих организациях".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>* В договорах на предоставление в пользование помещений не обеспечена прозрачность и наличие существенных условий договора о предмете договора – в нарушение статьи 432 Гражданского кодекса РФ.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>* Не оформлены приказами директора решения по утверждению Прейскуранта цен на платные услуги, расписания занятий творческих коллективов и студий, по проведению платных мероприятий (мастер-классов и пр.), по внесению изменений в локальные нормативные акты Учреждения: Положение о предоставлении платных услуг в МБУК «ЦКР» и т.д. – в нарушение пункта 5.4.5. Устава Учреждения.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>* При формировании себестоимости платных услуг группировка затрат по видам расходов в регистрах учета не ведется – в нарушение пунктов 138-139 Инструкции по применению Единого плана счетов бухгалтерского учета №</w:t>
      </w:r>
      <w:bookmarkStart w:id="0" w:name="_GoBack"/>
      <w:bookmarkEnd w:id="0"/>
      <w:r w:rsidRPr="00D831C3">
        <w:rPr>
          <w:sz w:val="27"/>
          <w:szCs w:val="27"/>
        </w:rPr>
        <w:t xml:space="preserve">157н от 01.12.2010г.   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>* Должным образом не минимизированы операции наличными деньгами по расчетам за посещение кружков и студий, по предоставлению юридическим лицам в пользование помещений для торговли товарами и т.д. Объем  расчетов наличными деньгами, поступающих в кассу с применением контрольно-кассовой техники</w:t>
      </w:r>
      <w:proofErr w:type="gramStart"/>
      <w:r w:rsidRPr="00D831C3">
        <w:rPr>
          <w:sz w:val="27"/>
          <w:szCs w:val="27"/>
        </w:rPr>
        <w:t>.</w:t>
      </w:r>
      <w:proofErr w:type="gramEnd"/>
      <w:r w:rsidRPr="00D831C3">
        <w:rPr>
          <w:sz w:val="27"/>
          <w:szCs w:val="27"/>
        </w:rPr>
        <w:t xml:space="preserve"> </w:t>
      </w:r>
      <w:proofErr w:type="gramStart"/>
      <w:r w:rsidRPr="00D831C3">
        <w:rPr>
          <w:sz w:val="27"/>
          <w:szCs w:val="27"/>
        </w:rPr>
        <w:t>с</w:t>
      </w:r>
      <w:proofErr w:type="gramEnd"/>
      <w:r w:rsidRPr="00D831C3">
        <w:rPr>
          <w:sz w:val="27"/>
          <w:szCs w:val="27"/>
        </w:rPr>
        <w:t>оставил 1 млн. 813 тыс.руб. в 2020 году и 2 млн. 077 тыс.руб. в январе-августе 2021г.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>* Раздельный ежемесячный учет прихода, расхода, остатка внебюджетных средств по видам доходов (платные услуги, арендная плата, добровольные пожертвования, кредит, внебюджетная субсидия и пр.) в регистрах учета не организован – в нарушение пунктов 365-368 Инструкции по применению Единого плана счетов бухгалтерского учета №157н от 01.12.2010г.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>*  Предоставление льготы многодетной семье при посещении студий не предусмотрено Положением о предоставлении платных услуг в МБУК «ЦКР», осуществлено в нарушение статьи 426 Гражданского кодекса РФ.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 xml:space="preserve">*  Учреждением не разработано положение о порядке предоставления купонов и сертификатов: отсутствует информация о категориях лиц, имеющих </w:t>
      </w:r>
      <w:r w:rsidRPr="00D831C3">
        <w:rPr>
          <w:sz w:val="27"/>
          <w:szCs w:val="27"/>
        </w:rPr>
        <w:lastRenderedPageBreak/>
        <w:t>право на Пригласительные билеты, Подарочные сертификаты, Карту гостя и прочие купоны. Не согласовано с учредителем применение скидок и льготных цен по билетам на киносеансы, по факту влияющее на объем субсидии из бюджета.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>* Не числятся в бухгалтерском учете подарочные сертификаты и пригласительные билеты по платной услуге «Просмотр кинофильмов» –  в нарушение пункта 2 статьи 10 Федерального закона "О бухгалтерском учете" №402-ФЗ от 06.12.2011г. и пунктов 337-338 Инструкции по применению Единого плана счетов бухгалтерского учета № 157н от 01.12.2010г.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>* Применение купонов, подарочных сертификатов, пригласительных билетов осуществляется бесконтрольно, создана почва для злоупотреблений, в том числе по выручке. Организация данной деятельности не соответствует требованиям к публичному договору – в нарушение  статьи 426 Гражданского кодекса РФ.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>* Начисление доходов по посещению платных кружков и студий в Учреждении осуществляется необоснованно по мере поступления оплаты, а не методом начисления – в нарушение пункта 3 Инструкции по применению Единого плана счетов бухгалтерского учета №157н от 01.12.2010г.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 xml:space="preserve">* Не по всем платным </w:t>
      </w:r>
      <w:proofErr w:type="gramStart"/>
      <w:r w:rsidRPr="00D831C3">
        <w:rPr>
          <w:sz w:val="27"/>
          <w:szCs w:val="27"/>
        </w:rPr>
        <w:t>мероприятиям</w:t>
      </w:r>
      <w:proofErr w:type="gramEnd"/>
      <w:r w:rsidRPr="00D831C3">
        <w:rPr>
          <w:sz w:val="27"/>
          <w:szCs w:val="27"/>
        </w:rPr>
        <w:t xml:space="preserve"> возможно определить правильность применения цены: отсутствует информация о возрастной категории участников, месте проведения и т.д.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 xml:space="preserve">* Бухгалтером-кассиром неправомерно собственноручно проставляется цена на билетах </w:t>
      </w:r>
      <w:proofErr w:type="spellStart"/>
      <w:r w:rsidRPr="00D831C3">
        <w:rPr>
          <w:sz w:val="27"/>
          <w:szCs w:val="27"/>
        </w:rPr>
        <w:t>самонаборным</w:t>
      </w:r>
      <w:proofErr w:type="spellEnd"/>
      <w:r w:rsidRPr="00D831C3">
        <w:rPr>
          <w:sz w:val="27"/>
          <w:szCs w:val="27"/>
        </w:rPr>
        <w:t xml:space="preserve"> штампом перед проведением мероприятия – без соблюдения пунктов 2.10, 3.1 Методических указаний о порядке применения, учета, хранения и уничтожения бланков строгой отчетности организациями и учреждениями, находящимися в ведении Министерства культуры Российской Федерации, утв. Письмом Минкультуры РФ от 15.07.2009 № 29-01-39/04.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 xml:space="preserve">* Учет билетов не ведется в Книге учета бланков строгой отчетности (ф.0504045), которая должна быть прошнурована и опечатана печатью, а количество листов пронумеровано и заверено руководителем Учреждения – в нарушение пункта 2.7. Методических указаний Минкультуры РФ от 15.07.2009 и Приказа Минфина России от 30.03.2015 </w:t>
      </w:r>
      <w:r w:rsidR="0093378A">
        <w:rPr>
          <w:sz w:val="27"/>
          <w:szCs w:val="27"/>
        </w:rPr>
        <w:t>№</w:t>
      </w:r>
      <w:r w:rsidRPr="00D831C3">
        <w:rPr>
          <w:sz w:val="27"/>
          <w:szCs w:val="27"/>
        </w:rPr>
        <w:t xml:space="preserve">52н «Об утверждении форм первичных учетных документов и регистров бухгалтерского учета». 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 xml:space="preserve">* Должным образом в Учреждении не организован внутренний </w:t>
      </w:r>
      <w:proofErr w:type="gramStart"/>
      <w:r w:rsidRPr="00D831C3">
        <w:rPr>
          <w:sz w:val="27"/>
          <w:szCs w:val="27"/>
        </w:rPr>
        <w:t>контроль за</w:t>
      </w:r>
      <w:proofErr w:type="gramEnd"/>
      <w:r w:rsidRPr="00D831C3">
        <w:rPr>
          <w:sz w:val="27"/>
          <w:szCs w:val="27"/>
        </w:rPr>
        <w:t xml:space="preserve"> совершаемыми финансово-хозяйственными операциями – в нарушение статьи 19 Федерального закона "О бухгалтерском учете" №402-ФЗ от 06.12.2011г., к примеру: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 xml:space="preserve">- Имеются расхождения в документах учета по поступлению оплаты за занятия в разрезе кружков и студий.  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>- Не проводились внезапные инвентаризации денежных сре</w:t>
      </w:r>
      <w:proofErr w:type="gramStart"/>
      <w:r w:rsidRPr="00D831C3">
        <w:rPr>
          <w:sz w:val="27"/>
          <w:szCs w:val="27"/>
        </w:rPr>
        <w:t>дств в к</w:t>
      </w:r>
      <w:proofErr w:type="gramEnd"/>
      <w:r w:rsidRPr="00D831C3">
        <w:rPr>
          <w:sz w:val="27"/>
          <w:szCs w:val="27"/>
        </w:rPr>
        <w:t>ассе и бланков строгой отчетности в кассе у материально-ответственных лиц.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 xml:space="preserve">* В составе материальных запасов не выделены отдельно продукты питания,  необоснованно учтены вместе с хозяйственными товарами на счете 105.36 «Прочие материальные запасы – иное движимое имущество Учреждения» - в нарушение пунктов 118-119 Инструкции по применению Единого плана счетов бухгалтерского учета № 157н от 01.12.2010г.  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>* Бухгалтерский учет банковских и кассовых операций по доходам осуществляется с нарушениями статей 9 и 10 Федерального закона "О бухгалтерском учете" № 402-ФЗ от 06.12.2011г.: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>- Учет комиссии банка искажает сумму фактических поступлений на лицевой счет в Казначействе в Журнале операций с безналичными денежными средствами.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>- Во всех расходных кассовых ордерах отсутствует роспись материально ответственного лица в получении наличных денежных сре</w:t>
      </w:r>
      <w:proofErr w:type="gramStart"/>
      <w:r w:rsidRPr="00D831C3">
        <w:rPr>
          <w:sz w:val="27"/>
          <w:szCs w:val="27"/>
        </w:rPr>
        <w:t>дств дл</w:t>
      </w:r>
      <w:proofErr w:type="gramEnd"/>
      <w:r w:rsidRPr="00D831C3">
        <w:rPr>
          <w:sz w:val="27"/>
          <w:szCs w:val="27"/>
        </w:rPr>
        <w:t xml:space="preserve">я дальнейшего внесения в банк – в нарушение пункта 6.1 Порядка ведения кассовых операций юридическими лицами", утв. Указанием Банка России от 11.03.2014 </w:t>
      </w:r>
      <w:r w:rsidR="0093378A">
        <w:rPr>
          <w:sz w:val="27"/>
          <w:szCs w:val="27"/>
        </w:rPr>
        <w:t>№</w:t>
      </w:r>
      <w:r w:rsidRPr="00D831C3">
        <w:rPr>
          <w:sz w:val="27"/>
          <w:szCs w:val="27"/>
        </w:rPr>
        <w:t>3210-У.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>* Прозрачность доходов по предпринимательской деятельности в Учреждении не обеспечена.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proofErr w:type="gramStart"/>
      <w:r w:rsidRPr="00D831C3">
        <w:rPr>
          <w:sz w:val="27"/>
          <w:szCs w:val="27"/>
        </w:rPr>
        <w:t xml:space="preserve">* Начисление налога на имущество в 2020 году в сумме 2 млн.034 тыс.руб. произведено только за счет бюджетных средств – в нарушение пункта 20 Положения о формировании муниципального задания на оказание муниципальных услуг (выполнение работ) муниципальными учреждениями Боровичского </w:t>
      </w:r>
      <w:r w:rsidRPr="00D831C3">
        <w:rPr>
          <w:sz w:val="27"/>
          <w:szCs w:val="27"/>
        </w:rPr>
        <w:lastRenderedPageBreak/>
        <w:t>муниципального района и города Боровичи и финансовом обеспечении выполнения муниципального задания, утв. постановлением Администрации БМР от 28.12.2015 № 2676.</w:t>
      </w:r>
      <w:proofErr w:type="gramEnd"/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 xml:space="preserve">* Допущено нецелевое использование бюджетных средств в 2020г. и 2021г. - по основанию статьи 306.4 Бюджетного кодекса РФ при оплате коммунальных услуг, налога на имущество, осуществленной Учреждением исключительно за счет субсидии на выполнение муниципального задания. 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>* Учреждением не проведены мероприятия по передаче в муниципальную собственность и в оперативное управление объектов особо ценного движимого имущества (свыше 200 тыс.руб.) – в нарушение пункта 5.3.2 Положения о порядке управления и распоряжения муниципальным имуществом городского поселения город Боровичи, утв. решением Совета депутатов города Боровичи от 16.05.2017 №117.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>* Учреждением допущены неэффективные расходы из внебюджетных средств, в том числе пени по налогу на имущество, госпошлина по исполнительным листам и т.д. на общую сумму 62 тыс.руб.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>* Среди неэффективных расходов: оплата труда по завышенным расценкам по некоторым договорам возмездного оказания услуг по ведению занятий в студиях (с превышением среднечасовой заработной платы директора Учреждения в 20 раз). Имеются признаки предоставления преференций по оплате труда, создана почва для злоупотреблений.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proofErr w:type="gramStart"/>
      <w:r w:rsidRPr="00D831C3">
        <w:rPr>
          <w:sz w:val="27"/>
          <w:szCs w:val="27"/>
        </w:rPr>
        <w:t>* Не подтверждено должным образом целевое расходование строительных  материалов на сумму 229 тыс.руб.: в договорах на ремонт помещений не указано о выполнении подрядчиком работ с использованием материалов заказчика, не составлен документ с выдачей материалов под роспись исполнителю для производства работ, не составлен подрядчиком отчет об израсходовании материала – в нарушение статьи 713 Гражданского кодекса РФ.</w:t>
      </w:r>
      <w:proofErr w:type="gramEnd"/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 xml:space="preserve">* К оплате расходов по авансовому отчету подотчетного лица неправомерно принят товарный чек на сумму 5,4 тыс.руб. без обязательных реквизитов на покупку наличными деньгами товаров, не соответствующих ассортименту магазина, а также в отсутствие кассового чека (бланка строгой отчетности) – в нарушение пункта 1 статьи 4.7. Федерального закона от 22.05.2003 </w:t>
      </w:r>
      <w:r w:rsidR="0093378A">
        <w:rPr>
          <w:sz w:val="27"/>
          <w:szCs w:val="27"/>
        </w:rPr>
        <w:t>№</w:t>
      </w:r>
      <w:r w:rsidRPr="00D831C3">
        <w:rPr>
          <w:sz w:val="27"/>
          <w:szCs w:val="27"/>
        </w:rPr>
        <w:t>54-ФЗ "О применении контрольно-кассовой техники при осуществлении расчетов в РФ».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 xml:space="preserve">* В некоторых инвентарных карточках не заполнены реквизиты, обязательные для заполнения: сведения об объектах (заводской номер, дата выпуска, изготовления) – в нарушение Приказа Минфина России от 30.03.2015г. №52н «Об утверждении форм первичных учетных документов и регистров бухгалтерского учета». </w:t>
      </w:r>
    </w:p>
    <w:p w:rsidR="00D831C3" w:rsidRDefault="00D831C3" w:rsidP="00D831C3">
      <w:pPr>
        <w:spacing w:line="260" w:lineRule="exact"/>
        <w:ind w:firstLine="709"/>
        <w:jc w:val="both"/>
        <w:rPr>
          <w:i/>
          <w:sz w:val="27"/>
          <w:szCs w:val="27"/>
        </w:rPr>
      </w:pPr>
      <w:r w:rsidRPr="00D831C3">
        <w:rPr>
          <w:i/>
          <w:sz w:val="27"/>
          <w:szCs w:val="27"/>
        </w:rPr>
        <w:t>По вопросу «Достоверность учета и отчетности по добровольным пожертвованиям» среди основных нарушений следующие: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proofErr w:type="gramStart"/>
      <w:r w:rsidRPr="00D831C3">
        <w:rPr>
          <w:sz w:val="27"/>
          <w:szCs w:val="27"/>
        </w:rPr>
        <w:t xml:space="preserve">* Не проведена Учреждением работа по заполнению Актов о приеме-передаче объектов нефинансовых активов (ф.0504101) от 01.04.2021 по указанию характеристик вышеуказанных объектов: сведений о марке, модели, заводских номеров, размеров и т.д. (акты от 01.04.2021), не обеспечена идентификация объектов – в нарушение Приказа Минфина России от 30.03.2015 </w:t>
      </w:r>
      <w:r w:rsidR="0093378A">
        <w:rPr>
          <w:sz w:val="27"/>
          <w:szCs w:val="27"/>
        </w:rPr>
        <w:t>№</w:t>
      </w:r>
      <w:r w:rsidRPr="00D831C3">
        <w:rPr>
          <w:sz w:val="27"/>
          <w:szCs w:val="27"/>
        </w:rPr>
        <w:t>52н «Об утверждении форм первичных учетных документов и регистров бухгалтерского учета».</w:t>
      </w:r>
      <w:proofErr w:type="gramEnd"/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>* Не определена текущая оценочная стоимость объектов основных средств, поступивших в качестве добровольных пожертвований, - в нарушение пункта 25 Инструкции по применению Единого плана счетов бухгалтерского учета № 157н от 01.12.2010г. и пункта 4.1.4. Учетной политики Учреждения.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  <w:r w:rsidRPr="00D831C3">
        <w:rPr>
          <w:sz w:val="27"/>
          <w:szCs w:val="27"/>
        </w:rPr>
        <w:t xml:space="preserve">* Средства добровольных пожертвований в 2021 году не учтены на счете 240110155 «Поступления текущего характера от иных резидентов (за исключением сектора государственного управления и организаций государственного сектора)" обособленно от платных услуг – в нарушение </w:t>
      </w:r>
      <w:proofErr w:type="gramStart"/>
      <w:r w:rsidRPr="00D831C3">
        <w:rPr>
          <w:sz w:val="27"/>
          <w:szCs w:val="27"/>
        </w:rPr>
        <w:t>Порядка применения классификации операций сектора государственного</w:t>
      </w:r>
      <w:proofErr w:type="gramEnd"/>
      <w:r w:rsidRPr="00D831C3">
        <w:rPr>
          <w:sz w:val="27"/>
          <w:szCs w:val="27"/>
        </w:rPr>
        <w:t xml:space="preserve"> управления, утв. Приказом Минфина России от 29.11.2017 </w:t>
      </w:r>
      <w:r w:rsidR="0093378A">
        <w:rPr>
          <w:sz w:val="27"/>
          <w:szCs w:val="27"/>
        </w:rPr>
        <w:t>№</w:t>
      </w:r>
      <w:r w:rsidRPr="00D831C3">
        <w:rPr>
          <w:sz w:val="27"/>
          <w:szCs w:val="27"/>
        </w:rPr>
        <w:t>209н.</w:t>
      </w:r>
    </w:p>
    <w:p w:rsidR="00D831C3" w:rsidRPr="00D831C3" w:rsidRDefault="00D831C3" w:rsidP="00D831C3">
      <w:pPr>
        <w:spacing w:line="260" w:lineRule="exact"/>
        <w:ind w:firstLine="709"/>
        <w:jc w:val="both"/>
        <w:rPr>
          <w:sz w:val="27"/>
          <w:szCs w:val="27"/>
        </w:rPr>
      </w:pPr>
    </w:p>
    <w:p w:rsidR="00D831C3" w:rsidRDefault="00D831C3" w:rsidP="00D831C3">
      <w:pPr>
        <w:spacing w:line="260" w:lineRule="exact"/>
        <w:ind w:firstLine="709"/>
        <w:jc w:val="both"/>
        <w:rPr>
          <w:sz w:val="26"/>
          <w:szCs w:val="26"/>
        </w:rPr>
      </w:pPr>
      <w:r w:rsidRPr="00D831C3">
        <w:rPr>
          <w:sz w:val="27"/>
          <w:szCs w:val="27"/>
        </w:rPr>
        <w:lastRenderedPageBreak/>
        <w:t>Приказом Комитета финансов от 1</w:t>
      </w:r>
      <w:r w:rsidR="004259EF">
        <w:rPr>
          <w:sz w:val="27"/>
          <w:szCs w:val="27"/>
        </w:rPr>
        <w:t>6</w:t>
      </w:r>
      <w:r w:rsidRPr="00D831C3">
        <w:rPr>
          <w:sz w:val="27"/>
          <w:szCs w:val="27"/>
        </w:rPr>
        <w:t xml:space="preserve">.12.2021 № </w:t>
      </w:r>
      <w:r w:rsidR="004259EF">
        <w:rPr>
          <w:sz w:val="27"/>
          <w:szCs w:val="27"/>
        </w:rPr>
        <w:t>93</w:t>
      </w:r>
      <w:r w:rsidRPr="00D831C3">
        <w:rPr>
          <w:sz w:val="27"/>
          <w:szCs w:val="27"/>
        </w:rPr>
        <w:t xml:space="preserve"> принято решение о вынесении МБУК «Центр культурного развития «Боровичи»» Представления об устранении нарушений и принятии мер по устранению причин и условий нарушений (в срок до 31 января 2022г.).</w:t>
      </w:r>
    </w:p>
    <w:p w:rsidR="00D831C3" w:rsidRDefault="00D831C3" w:rsidP="00D831C3">
      <w:pPr>
        <w:spacing w:line="300" w:lineRule="exact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sectPr w:rsidR="00D831C3" w:rsidSect="004259EF">
      <w:footerReference w:type="default" r:id="rId7"/>
      <w:pgSz w:w="11906" w:h="16838" w:code="9"/>
      <w:pgMar w:top="737" w:right="624" w:bottom="794" w:left="147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2EC" w:rsidRDefault="004F22EC" w:rsidP="001A7B2F">
      <w:r>
        <w:separator/>
      </w:r>
    </w:p>
  </w:endnote>
  <w:endnote w:type="continuationSeparator" w:id="0">
    <w:p w:rsidR="004F22EC" w:rsidRDefault="004F22EC" w:rsidP="001A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383825"/>
      <w:docPartObj>
        <w:docPartGallery w:val="Page Numbers (Bottom of Page)"/>
        <w:docPartUnique/>
      </w:docPartObj>
    </w:sdtPr>
    <w:sdtEndPr/>
    <w:sdtContent>
      <w:p w:rsidR="00D831C3" w:rsidRDefault="00D831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235">
          <w:rPr>
            <w:noProof/>
          </w:rPr>
          <w:t>4</w:t>
        </w:r>
        <w:r>
          <w:fldChar w:fldCharType="end"/>
        </w:r>
      </w:p>
    </w:sdtContent>
  </w:sdt>
  <w:p w:rsidR="001A7B2F" w:rsidRDefault="001A7B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2EC" w:rsidRDefault="004F22EC" w:rsidP="001A7B2F">
      <w:r>
        <w:separator/>
      </w:r>
    </w:p>
  </w:footnote>
  <w:footnote w:type="continuationSeparator" w:id="0">
    <w:p w:rsidR="004F22EC" w:rsidRDefault="004F22EC" w:rsidP="001A7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36"/>
    <w:rsid w:val="00174C49"/>
    <w:rsid w:val="001A7B2F"/>
    <w:rsid w:val="0027754B"/>
    <w:rsid w:val="00294841"/>
    <w:rsid w:val="003671D8"/>
    <w:rsid w:val="003E1235"/>
    <w:rsid w:val="003E3FCE"/>
    <w:rsid w:val="004077C8"/>
    <w:rsid w:val="004259EF"/>
    <w:rsid w:val="004F22EC"/>
    <w:rsid w:val="0093378A"/>
    <w:rsid w:val="00954BA9"/>
    <w:rsid w:val="00A95878"/>
    <w:rsid w:val="00AA27C3"/>
    <w:rsid w:val="00B151C3"/>
    <w:rsid w:val="00C34236"/>
    <w:rsid w:val="00C7038D"/>
    <w:rsid w:val="00D831C3"/>
    <w:rsid w:val="00E71FE5"/>
    <w:rsid w:val="00E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7B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7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775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7B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7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775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Громоздова</dc:creator>
  <cp:lastModifiedBy>Наталья Юрьевна Дмитриева</cp:lastModifiedBy>
  <cp:revision>8</cp:revision>
  <cp:lastPrinted>2021-11-10T07:52:00Z</cp:lastPrinted>
  <dcterms:created xsi:type="dcterms:W3CDTF">2021-12-17T07:16:00Z</dcterms:created>
  <dcterms:modified xsi:type="dcterms:W3CDTF">2021-12-22T12:49:00Z</dcterms:modified>
</cp:coreProperties>
</file>