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C3" w:rsidRDefault="00C7038D" w:rsidP="00D831C3">
      <w:pPr>
        <w:spacing w:line="300" w:lineRule="exact"/>
        <w:jc w:val="center"/>
        <w:rPr>
          <w:b/>
          <w:sz w:val="28"/>
          <w:szCs w:val="28"/>
        </w:rPr>
      </w:pPr>
      <w:r w:rsidRPr="008C7EA8">
        <w:rPr>
          <w:b/>
          <w:sz w:val="28"/>
          <w:szCs w:val="28"/>
        </w:rPr>
        <w:t>Информация о результатах</w:t>
      </w:r>
      <w:r>
        <w:rPr>
          <w:b/>
          <w:sz w:val="28"/>
          <w:szCs w:val="28"/>
        </w:rPr>
        <w:t xml:space="preserve"> плановой камеральной проверки</w:t>
      </w:r>
    </w:p>
    <w:p w:rsidR="00D831C3" w:rsidRDefault="00A95878" w:rsidP="00D831C3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038D" w:rsidRPr="00BF2A3B">
        <w:rPr>
          <w:b/>
          <w:sz w:val="28"/>
          <w:szCs w:val="28"/>
        </w:rPr>
        <w:t>в М</w:t>
      </w:r>
      <w:r w:rsidR="0027754B">
        <w:rPr>
          <w:b/>
          <w:sz w:val="28"/>
          <w:szCs w:val="28"/>
        </w:rPr>
        <w:t>БУК</w:t>
      </w:r>
      <w:r w:rsidR="00C7038D" w:rsidRPr="00BF2A3B">
        <w:rPr>
          <w:b/>
          <w:sz w:val="28"/>
          <w:szCs w:val="28"/>
        </w:rPr>
        <w:t xml:space="preserve"> «</w:t>
      </w:r>
      <w:r w:rsidR="0027754B">
        <w:rPr>
          <w:b/>
          <w:sz w:val="28"/>
          <w:szCs w:val="28"/>
        </w:rPr>
        <w:t>Центр культурного развития «Боровичи»</w:t>
      </w:r>
      <w:r w:rsidR="00C7038D" w:rsidRPr="00BF2A3B">
        <w:rPr>
          <w:b/>
          <w:sz w:val="28"/>
          <w:szCs w:val="28"/>
        </w:rPr>
        <w:t>»</w:t>
      </w:r>
    </w:p>
    <w:p w:rsidR="00C7038D" w:rsidRPr="00D17E62" w:rsidRDefault="00D831C3" w:rsidP="00D831C3">
      <w:pPr>
        <w:spacing w:line="300" w:lineRule="exact"/>
        <w:jc w:val="center"/>
        <w:rPr>
          <w:b/>
          <w:i/>
          <w:sz w:val="28"/>
          <w:szCs w:val="28"/>
        </w:rPr>
      </w:pPr>
      <w:r w:rsidRPr="00D17E62">
        <w:rPr>
          <w:b/>
          <w:i/>
          <w:sz w:val="28"/>
          <w:szCs w:val="28"/>
        </w:rPr>
        <w:t>в сфере</w:t>
      </w:r>
      <w:r w:rsidR="00DF3B29" w:rsidRPr="00D17E62">
        <w:rPr>
          <w:b/>
          <w:i/>
          <w:sz w:val="28"/>
          <w:szCs w:val="28"/>
        </w:rPr>
        <w:t xml:space="preserve"> закупок </w:t>
      </w:r>
    </w:p>
    <w:p w:rsidR="00DF3B29" w:rsidRPr="00DF3B29" w:rsidRDefault="00DF3B29" w:rsidP="00DF3B29">
      <w:pPr>
        <w:spacing w:line="2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Комитетом финансов Администрации Боровичского муниципального района проведена плановая камеральная проверка в МБУК «Центр культурного развития «Боровичи» (далее – МБУК «ЦКР», Учреждение) по теме: «Соблюдение законодательства РФ и иных нормативных правовых актов РФ в сфере закупок, установление достоверности отчетности и учета расходов, связанных с осуществлением закупок» за проверяемый период с 01.01.2020г.-31.08.2021г. (Акт №14 от 22.11.2021г.).</w:t>
      </w:r>
    </w:p>
    <w:p w:rsidR="00DF3B29" w:rsidRPr="00DF3B29" w:rsidRDefault="00DF3B29" w:rsidP="00DF3B29">
      <w:pPr>
        <w:suppressAutoHyphens/>
        <w:spacing w:line="26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zh-CN"/>
        </w:rPr>
        <w:t xml:space="preserve">В ходе проверки </w:t>
      </w:r>
      <w:r w:rsidRPr="00DF3B29">
        <w:rPr>
          <w:rFonts w:eastAsia="Calibri"/>
          <w:sz w:val="26"/>
          <w:szCs w:val="26"/>
          <w:lang w:eastAsia="en-US"/>
        </w:rPr>
        <w:t xml:space="preserve">установлены нарушения Бюджетного кодекса РФ, Федерального закона «О контрактной системе в сфере закупок» №44-ФЗ от 05.04.2013г., Федерального закона "О бухгалтерском учете" № 402-ФЗ от 06.12.2011г., муниципальных правовых актов, а также иные недостатки ведения финансово-хозяйственной деятельности при исполнении бюджета городского поселения города Боровичи. 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i/>
          <w:sz w:val="26"/>
          <w:szCs w:val="26"/>
          <w:lang w:eastAsia="en-US"/>
        </w:rPr>
      </w:pPr>
      <w:r w:rsidRPr="00DF3B29">
        <w:rPr>
          <w:rFonts w:eastAsia="Calibri"/>
          <w:i/>
          <w:sz w:val="26"/>
          <w:szCs w:val="26"/>
          <w:lang w:eastAsia="en-US"/>
        </w:rPr>
        <w:t>По вопросу «Соблюдения правил нормирования в сфере закупок, установленных в соответствии со статьей 19 Федерального закона №44-ФЗ «О контрактной системе в сфере закупок» среди основных нарушений следующие: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* Планы финансово-хозяйственной деятельности на 2020 и 2021 гг. не утверждены приказами по Учреждению – в нарушение пункта 2.18 Порядка составления и утверждения плана финансово-хозяйственной деятельности муниципальных учреждений Боровичского муниципального района и городского поселения город Боровичи, утв. постановлением Администрации БМР от 08.12.2016 № 3079 (в ред. от 27.12.2016 №3257).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* Не составлены Ведомости выдачи материальных ценностей на нужды учреждения на выдачу в эксплуатацию под роспись получателям кресел в количестве 2 штук, приобретенных в октябре 2020г. на общую сумму 13,8тыс</w:t>
      </w:r>
      <w:proofErr w:type="gramStart"/>
      <w:r w:rsidRPr="00DF3B29">
        <w:rPr>
          <w:rFonts w:eastAsia="Calibri"/>
          <w:sz w:val="26"/>
          <w:szCs w:val="26"/>
          <w:lang w:eastAsia="en-US"/>
        </w:rPr>
        <w:t>.р</w:t>
      </w:r>
      <w:proofErr w:type="gramEnd"/>
      <w:r w:rsidRPr="00DF3B29">
        <w:rPr>
          <w:rFonts w:eastAsia="Calibri"/>
          <w:sz w:val="26"/>
          <w:szCs w:val="26"/>
          <w:lang w:eastAsia="en-US"/>
        </w:rPr>
        <w:t>уб. (КФО2-внебюджет) - в нарушение Приказа Минфина России от 30.03.2015 №52н "Об утверждении форм первичных учетных документов и регистров бухгалтерского учета".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i/>
          <w:sz w:val="26"/>
          <w:szCs w:val="26"/>
          <w:lang w:eastAsia="en-US"/>
        </w:rPr>
      </w:pPr>
      <w:proofErr w:type="gramStart"/>
      <w:r w:rsidRPr="00DF3B29">
        <w:rPr>
          <w:rFonts w:eastAsia="Calibri"/>
          <w:i/>
          <w:sz w:val="26"/>
          <w:szCs w:val="26"/>
          <w:lang w:eastAsia="en-US"/>
        </w:rPr>
        <w:t>По вопросу «Определение и обоснование начальной (максимальной) цены контракта (далее – НМЦК), цены контракта, заключаемого с единственным поставщиком (подрядчиком, исполнителем)» среди основных нарушений следующие:</w:t>
      </w:r>
      <w:proofErr w:type="gramEnd"/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* Не составлены сметы к контрактам, расчеты цены иными методами, правильность определения цены контрактов документально не подтверждена –  в нарушение части 1 статьи 22 Федерального закона «О контрактной системе в сфере закупок» № 44-ФЗ. К примеру, по закупкам: «Изготовление, доставка и монтаж Арт-объектов» цена по 2 контрактам - 635,4 тыс.руб. (КФО4-бюджет), «Выполнение работ по замене напольного покрытия» цена контракта 89,5тыс</w:t>
      </w:r>
      <w:proofErr w:type="gramStart"/>
      <w:r w:rsidRPr="00DF3B29">
        <w:rPr>
          <w:rFonts w:eastAsia="Calibri"/>
          <w:sz w:val="26"/>
          <w:szCs w:val="26"/>
          <w:lang w:eastAsia="en-US"/>
        </w:rPr>
        <w:t>.р</w:t>
      </w:r>
      <w:proofErr w:type="gramEnd"/>
      <w:r w:rsidRPr="00DF3B29">
        <w:rPr>
          <w:rFonts w:eastAsia="Calibri"/>
          <w:sz w:val="26"/>
          <w:szCs w:val="26"/>
          <w:lang w:eastAsia="en-US"/>
        </w:rPr>
        <w:t>уб. (КФО2-бюджет), «Монтаж и демонтаж елей новогодних» цена контракта 120тыс.руб. (КФО4-бюджет).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* Не соблюдены правила по регистрации в делопроизводстве Учреждения коммерческих предложений потенциальных поставщиков (подрядчиков), а также запросы Учреждения на предоставление ценовой информации, предусмотренные пунктом 3.12. Методических рекомендаций по применению методов определения НМЦК, цены контракта, заключаемого с единственным поставщиком (подрядчиком, исполнителем), утв. Приказом Минэкономразвития РФ от 02.10.2013 №567 (далее - Методические рекомендации № 567).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* Закупки стоимостью выше 5 тыс.руб. осуществлены без использования электронных ресурсов, например, закупки металлических конструкций, услуг по полиграфии: в 2020г. на сумму 11,5 тыс.руб. (КФО2-внебюджет),  на сумму 635,4тыс</w:t>
      </w:r>
      <w:proofErr w:type="gramStart"/>
      <w:r w:rsidRPr="00DF3B29">
        <w:rPr>
          <w:rFonts w:eastAsia="Calibri"/>
          <w:sz w:val="26"/>
          <w:szCs w:val="26"/>
          <w:lang w:eastAsia="en-US"/>
        </w:rPr>
        <w:t>.р</w:t>
      </w:r>
      <w:proofErr w:type="gramEnd"/>
      <w:r w:rsidRPr="00DF3B29">
        <w:rPr>
          <w:rFonts w:eastAsia="Calibri"/>
          <w:sz w:val="26"/>
          <w:szCs w:val="26"/>
          <w:lang w:eastAsia="en-US"/>
        </w:rPr>
        <w:t xml:space="preserve">уб. (КФО4-бюджет); в 2021г. закупка на сумму 56 тыс.руб. (КФО4-бюджет) – в нарушение пункта 5 Порядка осуществления закупок малого объема с использованием специализированных электронных ресурсов, утв. постановлением Администрации Боровичского муниципального района от 02.08.2019 № 2442.  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 xml:space="preserve">* Учреждением в полной мере не обеспечено соблюдение принципа эффективности использования бюджетных средств, определенного статьей 34 Бюджетного кодекса РФ. 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i/>
          <w:sz w:val="26"/>
          <w:szCs w:val="26"/>
          <w:lang w:eastAsia="en-US"/>
        </w:rPr>
      </w:pPr>
      <w:r w:rsidRPr="00DF3B29">
        <w:rPr>
          <w:rFonts w:eastAsia="Calibri"/>
          <w:i/>
          <w:sz w:val="26"/>
          <w:szCs w:val="26"/>
          <w:lang w:eastAsia="en-US"/>
        </w:rPr>
        <w:lastRenderedPageBreak/>
        <w:t>По вопросу «Соблюдение предусмотренных Федеральным законом №44-ФЗ «О контрактной системе в сфере закупок»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контракта» среди основных нарушений следующие: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* Не соблюдены сроки окончания выполнения работ (этапов работ) по контрактам по Реконструкции набережной Октябрьской Революции в г.Боровичи - в нарушение пункта 1.3. контрактов и части 2 статьи 94 Федерального закона №44-ФЗ  "О контрактной системе в сфере закупок», по контрактам: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-№01503000024210001310001 от 30.07.2021, цена контракта 19млн.400тыс</w:t>
      </w:r>
      <w:proofErr w:type="gramStart"/>
      <w:r w:rsidRPr="00DF3B29">
        <w:rPr>
          <w:rFonts w:eastAsia="Calibri"/>
          <w:sz w:val="26"/>
          <w:szCs w:val="26"/>
          <w:lang w:eastAsia="en-US"/>
        </w:rPr>
        <w:t>.р</w:t>
      </w:r>
      <w:proofErr w:type="gramEnd"/>
      <w:r w:rsidRPr="00DF3B29">
        <w:rPr>
          <w:rFonts w:eastAsia="Calibri"/>
          <w:sz w:val="26"/>
          <w:szCs w:val="26"/>
          <w:lang w:eastAsia="en-US"/>
        </w:rPr>
        <w:t xml:space="preserve">уб., срок окончания работ до 01.09.2021; 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-№01503000024200001710001 от 14.12.2020 цена контракта 76млн.701тыс</w:t>
      </w:r>
      <w:proofErr w:type="gramStart"/>
      <w:r w:rsidRPr="00DF3B29">
        <w:rPr>
          <w:rFonts w:eastAsia="Calibri"/>
          <w:sz w:val="26"/>
          <w:szCs w:val="26"/>
          <w:lang w:eastAsia="en-US"/>
        </w:rPr>
        <w:t>.р</w:t>
      </w:r>
      <w:proofErr w:type="gramEnd"/>
      <w:r w:rsidRPr="00DF3B29">
        <w:rPr>
          <w:rFonts w:eastAsia="Calibri"/>
          <w:sz w:val="26"/>
          <w:szCs w:val="26"/>
          <w:lang w:eastAsia="en-US"/>
        </w:rPr>
        <w:t xml:space="preserve">уб., срок окончания работ до 01.12.2021 (с учетом </w:t>
      </w:r>
      <w:proofErr w:type="spellStart"/>
      <w:r w:rsidRPr="00DF3B29">
        <w:rPr>
          <w:rFonts w:eastAsia="Calibri"/>
          <w:sz w:val="26"/>
          <w:szCs w:val="26"/>
          <w:lang w:eastAsia="en-US"/>
        </w:rPr>
        <w:t>доп.соглашения</w:t>
      </w:r>
      <w:proofErr w:type="spellEnd"/>
      <w:r w:rsidRPr="00DF3B29">
        <w:rPr>
          <w:rFonts w:eastAsia="Calibri"/>
          <w:sz w:val="26"/>
          <w:szCs w:val="26"/>
          <w:lang w:eastAsia="en-US"/>
        </w:rPr>
        <w:t>).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 xml:space="preserve"> * Учреждением должным образом не осуществлен </w:t>
      </w:r>
      <w:proofErr w:type="gramStart"/>
      <w:r w:rsidRPr="00DF3B29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DF3B29">
        <w:rPr>
          <w:rFonts w:eastAsia="Calibri"/>
          <w:sz w:val="26"/>
          <w:szCs w:val="26"/>
          <w:lang w:eastAsia="en-US"/>
        </w:rPr>
        <w:t xml:space="preserve"> исполнением подрядчиком пункта 3.2.4. контракта №01503000024200001710001 от 14.12.2020г. об обязанности информирования о субподряде – в нарушение статьи 101 Федерального закона № 44-ФЗ "О контрактной системе в сфере закупок».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* Учреждением не проводилась экспертиза предоставленных поставщиком (подрядчиком, исполнителем) результатов, предусмотренных контрактами, в части их соответствия условиям контрактов - в нарушение части 3 статьи 94 Федерального закона Федерального закона № 44-ФЗ "О контрактной системе в сфере закупок».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 xml:space="preserve">* В инвентарных карточках (ф.0504031) на объекты, приобретенные в проверяемом периоде, не заполнены реквизиты, обязательные для заполнения: заводские номера, местонахождение объектов, ответственное лицо - в нарушение  Приказа Минфина России от 30.03.2015г. №52н «Об утверждении форм первичных учетных документов и регистров бухгалтерского учета». 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i/>
          <w:sz w:val="26"/>
          <w:szCs w:val="26"/>
          <w:lang w:eastAsia="en-US"/>
        </w:rPr>
      </w:pPr>
      <w:r w:rsidRPr="00DF3B29">
        <w:rPr>
          <w:rFonts w:eastAsia="Calibri"/>
          <w:i/>
          <w:sz w:val="26"/>
          <w:szCs w:val="26"/>
          <w:lang w:eastAsia="en-US"/>
        </w:rPr>
        <w:t>По вопросу «Соответствие использования поставленного товара, выполненной работы (ее результата) или оказанной услуги целям осуществления закупки» среди основных нарушений следующие: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* Закупка товаров на сумму 3,3 тыс.руб., приобретенных в феврале 2020г. за счет бюджетных средств (КФО</w:t>
      </w:r>
      <w:proofErr w:type="gramStart"/>
      <w:r w:rsidRPr="00DF3B29">
        <w:rPr>
          <w:rFonts w:eastAsia="Calibri"/>
          <w:sz w:val="26"/>
          <w:szCs w:val="26"/>
          <w:lang w:eastAsia="en-US"/>
        </w:rPr>
        <w:t>4</w:t>
      </w:r>
      <w:proofErr w:type="gramEnd"/>
      <w:r w:rsidRPr="00DF3B29">
        <w:rPr>
          <w:rFonts w:eastAsia="Calibri"/>
          <w:sz w:val="26"/>
          <w:szCs w:val="26"/>
          <w:lang w:eastAsia="en-US"/>
        </w:rPr>
        <w:t>) для призов на культурно-массовое  мероприятие «Широкая масленица», не соответствует целям муниципальной программы.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 xml:space="preserve">* Расходы по сервисному обслуживанию Кинопроектора </w:t>
      </w:r>
      <w:proofErr w:type="spellStart"/>
      <w:r w:rsidRPr="00DF3B29">
        <w:rPr>
          <w:rFonts w:eastAsia="Calibri"/>
          <w:sz w:val="26"/>
          <w:szCs w:val="26"/>
          <w:lang w:eastAsia="en-US"/>
        </w:rPr>
        <w:t>Barco</w:t>
      </w:r>
      <w:proofErr w:type="spellEnd"/>
      <w:r w:rsidRPr="00DF3B29">
        <w:rPr>
          <w:rFonts w:eastAsia="Calibri"/>
          <w:sz w:val="26"/>
          <w:szCs w:val="26"/>
          <w:lang w:eastAsia="en-US"/>
        </w:rPr>
        <w:t>, не являющегося муниципальным имуществом и используемому в основном в предпринимательской деятельности для кинопоказов, а также ра</w:t>
      </w:r>
      <w:bookmarkStart w:id="0" w:name="_GoBack"/>
      <w:bookmarkEnd w:id="0"/>
      <w:r w:rsidRPr="00DF3B29">
        <w:rPr>
          <w:rFonts w:eastAsia="Calibri"/>
          <w:sz w:val="26"/>
          <w:szCs w:val="26"/>
          <w:lang w:eastAsia="en-US"/>
        </w:rPr>
        <w:t xml:space="preserve">сходы по приобретению ламп для данного  кинопроектора осуществлены исключительно за счет бюджетных средств - в проверяемом периоде на сумму 204,8 тыс.руб. 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Допущено нецелевое использование бюджетных средств в 2020г. и 2021г. - по основанию статьи 306.4 Бюджетного кодекса РФ.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 xml:space="preserve">* Не были скорректированы с учетом коэффициента платной деятельности расходы на содержание кинопроектора, на оплату коммунальных услуг, и не были оплачены частично за счет внебюджетных средств – в нарушение пункта 6 статьи 9.2. Федерального закона от 12.01.1996 № 7-ФЗ "О некоммерческих организациях" и пункта 20 Положения о формировании муниципального задания на оказание муниципальных услуг (выполнение работ) муниципальными учреждениями Боровичского муниципального района и города Боровичи и финансовом обеспечении выполнения муниципального задания. 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F3B29">
        <w:rPr>
          <w:rFonts w:eastAsia="Calibri"/>
          <w:sz w:val="26"/>
          <w:szCs w:val="26"/>
          <w:lang w:eastAsia="en-US"/>
        </w:rPr>
        <w:t>* В бухгалтерском учете в составе капитальных вложений не учтены расходы на изготовление проектно-сметной документации по объекту капитального строительства «Реконструкция набережной Октябрьской Революции г.Боровичи» – в нарушение пункта 2 статьи 10 Федерального закона "О бухгалтерском учете" № 402-ФЗ от 06.12.2011г. и пп.127-128 Инструкции по применению Единого плана счетов бухгалтерского учета № 157н от 01.12.2010г.</w:t>
      </w:r>
      <w:proofErr w:type="gramEnd"/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t>* Материально ответственное лицо при выдаче материалов в эксплуатацию в Учреждении зачастую не меняется: зам</w:t>
      </w:r>
      <w:proofErr w:type="gramStart"/>
      <w:r w:rsidRPr="00DF3B29">
        <w:rPr>
          <w:rFonts w:eastAsia="Calibri"/>
          <w:sz w:val="26"/>
          <w:szCs w:val="26"/>
          <w:lang w:eastAsia="en-US"/>
        </w:rPr>
        <w:t>.д</w:t>
      </w:r>
      <w:proofErr w:type="gramEnd"/>
      <w:r w:rsidRPr="00DF3B29">
        <w:rPr>
          <w:rFonts w:eastAsia="Calibri"/>
          <w:sz w:val="26"/>
          <w:szCs w:val="26"/>
          <w:lang w:eastAsia="en-US"/>
        </w:rPr>
        <w:t xml:space="preserve">иректора по АХЧ неправомерно выдает </w:t>
      </w:r>
      <w:r w:rsidR="00225DF5">
        <w:rPr>
          <w:rFonts w:eastAsia="Calibri"/>
          <w:sz w:val="26"/>
          <w:szCs w:val="26"/>
          <w:lang w:eastAsia="en-US"/>
        </w:rPr>
        <w:t xml:space="preserve">             </w:t>
      </w:r>
      <w:r w:rsidRPr="00DF3B29">
        <w:rPr>
          <w:rFonts w:eastAsia="Calibri"/>
          <w:sz w:val="26"/>
          <w:szCs w:val="26"/>
          <w:lang w:eastAsia="en-US"/>
        </w:rPr>
        <w:t>под роспись хозяйственные товары сама себе – в нарушение статьи 9 Федерального закона " О бухгалтерском учете" №402-ФЗ от 06.12.2011г. К примеру, в январе-феврале 2021г. на сумму 14,7 тыс.руб. (КФО2-внебюджет).</w:t>
      </w: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</w:p>
    <w:p w:rsidR="00DF3B29" w:rsidRPr="00DF3B29" w:rsidRDefault="00DF3B29" w:rsidP="00DF3B29">
      <w:pPr>
        <w:spacing w:line="260" w:lineRule="exact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DF3B29">
        <w:rPr>
          <w:rFonts w:eastAsia="Calibri"/>
          <w:sz w:val="26"/>
          <w:szCs w:val="26"/>
          <w:lang w:eastAsia="en-US"/>
        </w:rPr>
        <w:lastRenderedPageBreak/>
        <w:t>Приказом Комитета финансов от 1</w:t>
      </w:r>
      <w:r w:rsidR="00E07590">
        <w:rPr>
          <w:rFonts w:eastAsia="Calibri"/>
          <w:sz w:val="26"/>
          <w:szCs w:val="26"/>
          <w:lang w:eastAsia="en-US"/>
        </w:rPr>
        <w:t>6</w:t>
      </w:r>
      <w:r w:rsidRPr="00DF3B29">
        <w:rPr>
          <w:rFonts w:eastAsia="Calibri"/>
          <w:sz w:val="26"/>
          <w:szCs w:val="26"/>
          <w:lang w:eastAsia="en-US"/>
        </w:rPr>
        <w:t xml:space="preserve">.12.2021 № </w:t>
      </w:r>
      <w:r w:rsidR="00E07590">
        <w:rPr>
          <w:rFonts w:eastAsia="Calibri"/>
          <w:sz w:val="26"/>
          <w:szCs w:val="26"/>
          <w:lang w:eastAsia="en-US"/>
        </w:rPr>
        <w:t>93</w:t>
      </w:r>
      <w:r w:rsidRPr="00DF3B29">
        <w:rPr>
          <w:rFonts w:eastAsia="Calibri"/>
          <w:sz w:val="26"/>
          <w:szCs w:val="26"/>
          <w:lang w:eastAsia="en-US"/>
        </w:rPr>
        <w:t xml:space="preserve"> принято решение о вынесении МБУК «Центр культурного развития «Боровичи»» Представления об устранении нарушений и принятии мер по устранению причин и условий нарушений (в срок </w:t>
      </w:r>
      <w:r w:rsidR="00E07590">
        <w:rPr>
          <w:rFonts w:eastAsia="Calibri"/>
          <w:sz w:val="26"/>
          <w:szCs w:val="26"/>
          <w:lang w:eastAsia="en-US"/>
        </w:rPr>
        <w:t xml:space="preserve">           </w:t>
      </w:r>
      <w:r w:rsidRPr="00DF3B29">
        <w:rPr>
          <w:rFonts w:eastAsia="Calibri"/>
          <w:sz w:val="26"/>
          <w:szCs w:val="26"/>
          <w:lang w:eastAsia="en-US"/>
        </w:rPr>
        <w:t>до 31 января 2022г.).</w:t>
      </w:r>
    </w:p>
    <w:p w:rsidR="00D831C3" w:rsidRDefault="00D831C3" w:rsidP="00D831C3">
      <w:pPr>
        <w:spacing w:line="300" w:lineRule="exac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D831C3" w:rsidRDefault="00D831C3" w:rsidP="0027754B">
      <w:pPr>
        <w:spacing w:line="300" w:lineRule="exact"/>
        <w:ind w:firstLine="708"/>
        <w:jc w:val="both"/>
        <w:rPr>
          <w:sz w:val="26"/>
          <w:szCs w:val="26"/>
        </w:rPr>
      </w:pPr>
    </w:p>
    <w:p w:rsidR="00D831C3" w:rsidRDefault="00D831C3" w:rsidP="0027754B">
      <w:pPr>
        <w:spacing w:line="300" w:lineRule="exact"/>
        <w:ind w:firstLine="708"/>
        <w:jc w:val="both"/>
        <w:rPr>
          <w:sz w:val="26"/>
          <w:szCs w:val="26"/>
        </w:rPr>
      </w:pPr>
    </w:p>
    <w:p w:rsidR="00D831C3" w:rsidRDefault="00D831C3" w:rsidP="0027754B">
      <w:pPr>
        <w:spacing w:line="300" w:lineRule="exact"/>
        <w:ind w:firstLine="708"/>
        <w:jc w:val="both"/>
        <w:rPr>
          <w:sz w:val="26"/>
          <w:szCs w:val="26"/>
        </w:rPr>
      </w:pPr>
    </w:p>
    <w:p w:rsidR="00D831C3" w:rsidRDefault="00D831C3" w:rsidP="0027754B">
      <w:pPr>
        <w:spacing w:line="300" w:lineRule="exact"/>
        <w:ind w:firstLine="708"/>
        <w:jc w:val="both"/>
        <w:rPr>
          <w:sz w:val="26"/>
          <w:szCs w:val="26"/>
        </w:rPr>
      </w:pPr>
    </w:p>
    <w:p w:rsidR="00D831C3" w:rsidRPr="00BD2488" w:rsidRDefault="00D831C3" w:rsidP="0027754B">
      <w:pPr>
        <w:spacing w:line="300" w:lineRule="exact"/>
        <w:ind w:firstLine="708"/>
        <w:jc w:val="both"/>
        <w:rPr>
          <w:sz w:val="26"/>
          <w:szCs w:val="26"/>
        </w:rPr>
      </w:pPr>
    </w:p>
    <w:p w:rsidR="00C7038D" w:rsidRPr="005E001F" w:rsidRDefault="00C7038D" w:rsidP="00C7038D"/>
    <w:p w:rsidR="00174C49" w:rsidRPr="00C7038D" w:rsidRDefault="00174C49" w:rsidP="00C7038D"/>
    <w:sectPr w:rsidR="00174C49" w:rsidRPr="00C7038D" w:rsidSect="00E07590">
      <w:footerReference w:type="default" r:id="rId7"/>
      <w:pgSz w:w="11906" w:h="16838" w:code="9"/>
      <w:pgMar w:top="737" w:right="624" w:bottom="680" w:left="147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4D" w:rsidRDefault="006B404D" w:rsidP="001A7B2F">
      <w:r>
        <w:separator/>
      </w:r>
    </w:p>
  </w:endnote>
  <w:endnote w:type="continuationSeparator" w:id="0">
    <w:p w:rsidR="006B404D" w:rsidRDefault="006B404D" w:rsidP="001A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383825"/>
      <w:docPartObj>
        <w:docPartGallery w:val="Page Numbers (Bottom of Page)"/>
        <w:docPartUnique/>
      </w:docPartObj>
    </w:sdtPr>
    <w:sdtEndPr/>
    <w:sdtContent>
      <w:p w:rsidR="00D831C3" w:rsidRDefault="00D831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E36">
          <w:rPr>
            <w:noProof/>
          </w:rPr>
          <w:t>1</w:t>
        </w:r>
        <w:r>
          <w:fldChar w:fldCharType="end"/>
        </w:r>
      </w:p>
    </w:sdtContent>
  </w:sdt>
  <w:p w:rsidR="001A7B2F" w:rsidRDefault="001A7B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4D" w:rsidRDefault="006B404D" w:rsidP="001A7B2F">
      <w:r>
        <w:separator/>
      </w:r>
    </w:p>
  </w:footnote>
  <w:footnote w:type="continuationSeparator" w:id="0">
    <w:p w:rsidR="006B404D" w:rsidRDefault="006B404D" w:rsidP="001A7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36"/>
    <w:rsid w:val="00174C49"/>
    <w:rsid w:val="001A7B2F"/>
    <w:rsid w:val="00217649"/>
    <w:rsid w:val="00225DF5"/>
    <w:rsid w:val="0027754B"/>
    <w:rsid w:val="00294841"/>
    <w:rsid w:val="003671D8"/>
    <w:rsid w:val="003E3FCE"/>
    <w:rsid w:val="0049363F"/>
    <w:rsid w:val="00504E36"/>
    <w:rsid w:val="006B404D"/>
    <w:rsid w:val="008C4E1B"/>
    <w:rsid w:val="00954BA9"/>
    <w:rsid w:val="00A95878"/>
    <w:rsid w:val="00AA27C3"/>
    <w:rsid w:val="00C34236"/>
    <w:rsid w:val="00C7038D"/>
    <w:rsid w:val="00CC1B55"/>
    <w:rsid w:val="00D17E62"/>
    <w:rsid w:val="00D831C3"/>
    <w:rsid w:val="00DF3B29"/>
    <w:rsid w:val="00E07590"/>
    <w:rsid w:val="00E71FE5"/>
    <w:rsid w:val="00EE76EF"/>
    <w:rsid w:val="00F7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7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7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Громоздова</dc:creator>
  <cp:lastModifiedBy>Наталья Юрьевна Дмитриева</cp:lastModifiedBy>
  <cp:revision>7</cp:revision>
  <cp:lastPrinted>2021-11-10T07:52:00Z</cp:lastPrinted>
  <dcterms:created xsi:type="dcterms:W3CDTF">2021-12-17T09:29:00Z</dcterms:created>
  <dcterms:modified xsi:type="dcterms:W3CDTF">2021-12-22T12:46:00Z</dcterms:modified>
</cp:coreProperties>
</file>