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права на заключение договора на размещение нестационарного торгового объекта на землях, находящихся в распоряжении Администрации Боровичского муниципального района.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контактные телефоны: 91-211, 91-273).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постановлений от 20.03.2023 № 817 «О проведении аукциона по продаже права на заключение договора на размещение нестационарного торгового объекта". 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каб.52.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аукциона: 02 мая 2023  в 10 часов 00 минут.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право на заключение договора на размещение НТО. </w:t>
      </w:r>
      <w:proofErr w:type="gramStart"/>
      <w:r>
        <w:rPr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начального размера годовой платы и каждого очередного размера платы в случае, если готовы заключить договор на право размещение нестационарного торгового объекта в соответствии с этим размером платы.</w:t>
      </w:r>
      <w:proofErr w:type="gramEnd"/>
      <w:r>
        <w:rPr>
          <w:sz w:val="28"/>
          <w:szCs w:val="28"/>
        </w:rPr>
        <w:t xml:space="preserve">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право на заключение договора на размещение НТО. 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0932AC" w:rsidRDefault="000932AC" w:rsidP="000932AC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Предмет аукциона:</w:t>
      </w:r>
    </w:p>
    <w:p w:rsidR="000932AC" w:rsidRDefault="000932AC" w:rsidP="000932AC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право на заключение договора на размещение нестационарного торгового объекта павильона со специализацией «продовольственные товары» площадью 24,0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с/п </w:t>
      </w:r>
      <w:proofErr w:type="spellStart"/>
      <w:r>
        <w:rPr>
          <w:sz w:val="28"/>
          <w:szCs w:val="28"/>
        </w:rPr>
        <w:t>Сушанское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Нальцы</w:t>
      </w:r>
      <w:proofErr w:type="spellEnd"/>
      <w:r>
        <w:rPr>
          <w:sz w:val="28"/>
          <w:szCs w:val="28"/>
        </w:rPr>
        <w:t>, сроком на 5 лет.</w:t>
      </w:r>
    </w:p>
    <w:p w:rsidR="000932AC" w:rsidRDefault="000932AC" w:rsidP="000932AC">
      <w:pPr>
        <w:pStyle w:val="a3"/>
        <w:spacing w:after="0"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Начальный размер годовой платы за размещение нестационарного торгового объекта – 20 719,20 руб.</w:t>
      </w:r>
    </w:p>
    <w:p w:rsidR="000932AC" w:rsidRDefault="000932AC" w:rsidP="000932AC">
      <w:pPr>
        <w:pStyle w:val="a3"/>
        <w:spacing w:after="0"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– 4 143,84 руб., что составляет двадцать процентов начального размера ежегодной платы за размещение нестационарного торгового объекта.</w:t>
      </w:r>
    </w:p>
    <w:p w:rsidR="000932AC" w:rsidRDefault="000932AC" w:rsidP="000932AC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621,58 руб., что составляет три процента начального размера. </w:t>
      </w:r>
    </w:p>
    <w:p w:rsidR="000932AC" w:rsidRDefault="000932AC" w:rsidP="000932AC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формой заявки и проектом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можно ознакомиться на официальном сайте Администрации Боровичского муниципального района http://www.boradmin.ru/.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заявители должны представить следующие документы: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заявка на участие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по установленной форме с указанием банковских реквизитов счета для возврата задатка;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 с 30 марта 2023 года до 27 апреля 2023 года.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Задаток для участия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 по лотам </w:t>
      </w:r>
      <w:bookmarkStart w:id="0" w:name="_Hlk64272853"/>
      <w:r>
        <w:rPr>
          <w:sz w:val="28"/>
          <w:szCs w:val="28"/>
        </w:rPr>
        <w:t>вносится по следующим реквизитам:</w:t>
      </w:r>
      <w:bookmarkEnd w:id="0"/>
      <w:r>
        <w:rPr>
          <w:sz w:val="28"/>
          <w:szCs w:val="28"/>
        </w:rPr>
        <w:t xml:space="preserve"> Комитет финансов Администрации Боровичского муниципального района (Администрация Боровичского муниципального района</w:t>
      </w:r>
      <w:r>
        <w:rPr>
          <w:b/>
          <w:sz w:val="28"/>
          <w:szCs w:val="28"/>
        </w:rPr>
        <w:t xml:space="preserve"> л/с </w:t>
      </w:r>
      <w:r>
        <w:rPr>
          <w:b/>
          <w:bCs/>
          <w:sz w:val="28"/>
          <w:szCs w:val="28"/>
        </w:rPr>
        <w:t>05503008190</w:t>
      </w:r>
      <w:r>
        <w:rPr>
          <w:sz w:val="28"/>
          <w:szCs w:val="28"/>
        </w:rPr>
        <w:t>)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5320009033 КПП 532001001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№ 03232643496061015000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Кор. Счет № 40102810145370000042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 – 014959900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НОВГОРОД БАНКА РОССИИ//УФК ПО НОВГОРОДСКОЙ ОБЛАСТИ г. Великий Новгород, 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ОКТМО 49606449,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вносится по следующим реквизитам: Управление Федерального казначейства по Новгородской области (Администрация Боровичского муниципального района, </w:t>
      </w:r>
      <w:r>
        <w:rPr>
          <w:b/>
          <w:bCs/>
          <w:sz w:val="28"/>
          <w:szCs w:val="28"/>
        </w:rPr>
        <w:t>л/с</w:t>
      </w:r>
      <w:r>
        <w:rPr>
          <w:sz w:val="28"/>
          <w:szCs w:val="28"/>
        </w:rPr>
        <w:t xml:space="preserve"> </w:t>
      </w:r>
      <w:bookmarkStart w:id="1" w:name="_Hlk65224802"/>
      <w:r>
        <w:rPr>
          <w:b/>
          <w:bCs/>
          <w:sz w:val="28"/>
          <w:szCs w:val="28"/>
        </w:rPr>
        <w:t>04503008190</w:t>
      </w:r>
      <w:bookmarkEnd w:id="1"/>
      <w:r>
        <w:rPr>
          <w:sz w:val="28"/>
          <w:szCs w:val="28"/>
        </w:rPr>
        <w:t>)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5320009033 КПП 532001001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№ 03100643000000015000</w:t>
      </w:r>
      <w:bookmarkStart w:id="2" w:name="_Hlk61334205"/>
    </w:p>
    <w:bookmarkEnd w:id="2"/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№ 40102810145370000042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 –014959900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ОТДЕЛЕНИЕ НОВГОРОД БАНКА РОССИИ//УФК ПО     НОВГОРОДСКОЙ ОБЛАСТИ г. Великий Новгород </w:t>
      </w:r>
      <w:r>
        <w:rPr>
          <w:sz w:val="28"/>
          <w:szCs w:val="28"/>
        </w:rPr>
        <w:tab/>
        <w:t xml:space="preserve">  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bookmarkStart w:id="3" w:name="_Hlk65224368"/>
      <w:r>
        <w:rPr>
          <w:sz w:val="28"/>
          <w:szCs w:val="28"/>
        </w:rPr>
        <w:t>49606449</w:t>
      </w:r>
    </w:p>
    <w:bookmarkEnd w:id="3"/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 w:bidi="he-IL"/>
        </w:rPr>
        <w:t>КБК 456 1 11 05013 05 0000 120</w:t>
      </w:r>
      <w:r>
        <w:rPr>
          <w:sz w:val="28"/>
          <w:szCs w:val="28"/>
        </w:rPr>
        <w:t>, с указанием лота.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Задаток, внесенный лицом, признанным победителем аукциона, засчитывается в счет платы за право на заключение договора на размещение НТО. 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допущен к участию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; 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участвовал в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, но не победил в нем; организатором принято решение об отказе в проведении аукциона. 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не возвращается,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победитель аукциона уклонился от заключения договора на право размещение нестационарного торгового объекта в установленном законом порядке.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каб.39, 28 апреля 2023 в 10 час. 00 мин.</w:t>
      </w:r>
    </w:p>
    <w:p w:rsidR="000932AC" w:rsidRDefault="000932AC" w:rsidP="000932AC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Осмотр места размещения НТО будет осуществляться по месту его расположения в течение всего срока подачи заявок.</w:t>
      </w:r>
    </w:p>
    <w:p w:rsidR="00661274" w:rsidRDefault="000932AC" w:rsidP="000932AC"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каб.45, контактный телефон (81664) 91-273, по рабочим дням с 08.30 до 17.30, перерыв на обед с 13.00 до 14.00.</w:t>
      </w:r>
      <w:bookmarkStart w:id="4" w:name="_GoBack"/>
      <w:bookmarkEnd w:id="4"/>
    </w:p>
    <w:sectPr w:rsidR="0066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AC"/>
    <w:rsid w:val="000932AC"/>
    <w:rsid w:val="006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2A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93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2A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93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2023-03-21T07:19:00Z</dcterms:created>
  <dcterms:modified xsi:type="dcterms:W3CDTF">2023-03-21T07:20:00Z</dcterms:modified>
</cp:coreProperties>
</file>