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</w:t>
      </w:r>
      <w:proofErr w:type="gramEnd"/>
      <w:r w:rsidR="00BF4D82" w:rsidRPr="0030173E">
        <w:rPr>
          <w:sz w:val="18"/>
          <w:szCs w:val="18"/>
        </w:rPr>
        <w:t xml:space="preserve">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DC7B68" w:rsidRPr="00DC7B68">
        <w:rPr>
          <w:sz w:val="18"/>
          <w:szCs w:val="18"/>
          <w:lang w:eastAsia="ru-RU"/>
        </w:rPr>
        <w:t>2 года 5 месяцев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DC7B68" w:rsidRPr="00DC7B68">
        <w:rPr>
          <w:sz w:val="18"/>
          <w:szCs w:val="18"/>
          <w:lang w:eastAsia="ru-RU"/>
        </w:rPr>
        <w:t xml:space="preserve">53:02:0122702:202 площадью 4308 </w:t>
      </w:r>
      <w:proofErr w:type="spellStart"/>
      <w:r w:rsidR="00DC7B68" w:rsidRPr="00DC7B68">
        <w:rPr>
          <w:sz w:val="18"/>
          <w:szCs w:val="18"/>
          <w:lang w:eastAsia="ru-RU"/>
        </w:rPr>
        <w:t>кв</w:t>
      </w:r>
      <w:proofErr w:type="gramStart"/>
      <w:r w:rsidR="00DC7B68" w:rsidRPr="00DC7B68">
        <w:rPr>
          <w:sz w:val="18"/>
          <w:szCs w:val="18"/>
          <w:lang w:eastAsia="ru-RU"/>
        </w:rPr>
        <w:t>.м</w:t>
      </w:r>
      <w:proofErr w:type="gramEnd"/>
      <w:r w:rsidR="00DC7B68" w:rsidRPr="00DC7B68">
        <w:rPr>
          <w:sz w:val="18"/>
          <w:szCs w:val="18"/>
          <w:lang w:eastAsia="ru-RU"/>
        </w:rPr>
        <w:t>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DC7B68" w:rsidRPr="00DC7B68">
        <w:rPr>
          <w:sz w:val="18"/>
          <w:szCs w:val="18"/>
          <w:lang w:eastAsia="ru-RU"/>
        </w:rPr>
        <w:t xml:space="preserve">Российская Федерация, Новгородская обл., Боровичский муниципальный р-н, с/п </w:t>
      </w:r>
      <w:proofErr w:type="spellStart"/>
      <w:r w:rsidR="00DC7B68" w:rsidRPr="00DC7B68">
        <w:rPr>
          <w:sz w:val="18"/>
          <w:szCs w:val="18"/>
          <w:lang w:eastAsia="ru-RU"/>
        </w:rPr>
        <w:t>Прогресское</w:t>
      </w:r>
      <w:proofErr w:type="spellEnd"/>
      <w:r w:rsidR="00DC7B68" w:rsidRPr="00DC7B68">
        <w:rPr>
          <w:sz w:val="18"/>
          <w:szCs w:val="18"/>
          <w:lang w:eastAsia="ru-RU"/>
        </w:rPr>
        <w:t xml:space="preserve">, </w:t>
      </w:r>
      <w:proofErr w:type="spellStart"/>
      <w:r w:rsidR="00DC7B68" w:rsidRPr="00DC7B68">
        <w:rPr>
          <w:sz w:val="18"/>
          <w:szCs w:val="18"/>
          <w:lang w:eastAsia="ru-RU"/>
        </w:rPr>
        <w:t>ул</w:t>
      </w:r>
      <w:proofErr w:type="gramStart"/>
      <w:r w:rsidR="00DC7B68" w:rsidRPr="00DC7B68">
        <w:rPr>
          <w:sz w:val="18"/>
          <w:szCs w:val="18"/>
          <w:lang w:eastAsia="ru-RU"/>
        </w:rPr>
        <w:t>.Д</w:t>
      </w:r>
      <w:proofErr w:type="gramEnd"/>
      <w:r w:rsidR="00DC7B68" w:rsidRPr="00DC7B68">
        <w:rPr>
          <w:sz w:val="18"/>
          <w:szCs w:val="18"/>
          <w:lang w:eastAsia="ru-RU"/>
        </w:rPr>
        <w:t>орожный</w:t>
      </w:r>
      <w:proofErr w:type="spellEnd"/>
      <w:r w:rsidR="00DC7B68" w:rsidRPr="00DC7B68">
        <w:rPr>
          <w:sz w:val="18"/>
          <w:szCs w:val="18"/>
          <w:lang w:eastAsia="ru-RU"/>
        </w:rPr>
        <w:t xml:space="preserve"> участок, з/у 2702/2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C7B68" w:rsidRPr="00DC7B68">
        <w:rPr>
          <w:sz w:val="18"/>
          <w:szCs w:val="18"/>
          <w:lang w:eastAsia="ru-RU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AA5026" w:rsidRPr="00AA5026">
        <w:rPr>
          <w:sz w:val="18"/>
          <w:szCs w:val="18"/>
          <w:lang w:eastAsia="ru-RU"/>
        </w:rPr>
        <w:t>охранная зона инженерных коммуникаций, санитарно-защитная зона предприятий, сооружений и иных объектов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DC7B68" w:rsidRPr="00DC7B68">
        <w:rPr>
          <w:sz w:val="18"/>
          <w:szCs w:val="18"/>
          <w:lang w:eastAsia="ru-RU"/>
        </w:rPr>
        <w:t>2 года 5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C7B68" w:rsidRPr="00DC7B68">
        <w:rPr>
          <w:sz w:val="18"/>
          <w:szCs w:val="18"/>
          <w:lang w:eastAsia="ru-RU"/>
        </w:rPr>
        <w:t>19 600 (девятнадцать тысяч шестьсот)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 xml:space="preserve">асчетный счет № 03100643000000015000, БИК 014959900, л/с 04503008190, КБК 456 111 05013 </w:t>
      </w:r>
      <w:r w:rsidR="00AA5026">
        <w:rPr>
          <w:sz w:val="18"/>
          <w:szCs w:val="18"/>
        </w:rPr>
        <w:t>05</w:t>
      </w:r>
      <w:r w:rsidR="00AA5026" w:rsidRPr="00514689">
        <w:rPr>
          <w:sz w:val="18"/>
          <w:szCs w:val="18"/>
        </w:rPr>
        <w:t xml:space="preserve"> 0000 120, ОКТМО 49606</w:t>
      </w:r>
      <w:r w:rsidR="00AA5026">
        <w:rPr>
          <w:sz w:val="18"/>
          <w:szCs w:val="18"/>
        </w:rPr>
        <w:t>44</w:t>
      </w:r>
      <w:r w:rsidR="00DC7B68">
        <w:rPr>
          <w:sz w:val="18"/>
          <w:szCs w:val="18"/>
        </w:rPr>
        <w:t>6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</w:t>
      </w:r>
      <w:proofErr w:type="gramStart"/>
      <w:r w:rsidR="00AA5026" w:rsidRPr="00514689">
        <w:rPr>
          <w:sz w:val="18"/>
          <w:szCs w:val="18"/>
        </w:rPr>
        <w:t>.В</w:t>
      </w:r>
      <w:proofErr w:type="gramEnd"/>
      <w:r w:rsidR="00AA5026" w:rsidRPr="00514689">
        <w:rPr>
          <w:sz w:val="18"/>
          <w:szCs w:val="18"/>
        </w:rPr>
        <w:t>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lastRenderedPageBreak/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bookmarkStart w:id="2" w:name="_GoBack"/>
      <w:bookmarkEnd w:id="2"/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</w:t>
            </w:r>
            <w:proofErr w:type="gramStart"/>
            <w:r w:rsidRPr="001A7AA1">
              <w:rPr>
                <w:sz w:val="18"/>
                <w:szCs w:val="18"/>
              </w:rPr>
              <w:t>.Б</w:t>
            </w:r>
            <w:proofErr w:type="gramEnd"/>
            <w:r w:rsidRPr="001A7AA1">
              <w:rPr>
                <w:sz w:val="18"/>
                <w:szCs w:val="18"/>
              </w:rPr>
              <w:t>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</w:t>
            </w:r>
            <w:proofErr w:type="gramStart"/>
            <w:r w:rsidRPr="001A7AA1">
              <w:rPr>
                <w:sz w:val="18"/>
                <w:szCs w:val="18"/>
              </w:rPr>
              <w:t>.К</w:t>
            </w:r>
            <w:proofErr w:type="gramEnd"/>
            <w:r w:rsidRPr="001A7AA1">
              <w:rPr>
                <w:sz w:val="18"/>
                <w:szCs w:val="18"/>
              </w:rPr>
              <w:t>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62D9-E8D7-4564-97B1-0A2334CC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2021-06-01T08:13:00Z</dcterms:created>
  <dcterms:modified xsi:type="dcterms:W3CDTF">2021-06-01T08:13:00Z</dcterms:modified>
</cp:coreProperties>
</file>