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9B" w:rsidRDefault="007036CF">
      <w:pP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bookmarkStart w:id="0" w:name="_GoBack"/>
      <w:bookmarkEnd w:id="0"/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pict>
          <v:shape id="_x0000_i0" o:spid="_x0000_s1026" type="#_x0000_t75" style="position:absolute;margin-left:0;margin-top:-31.2pt;width:261.75pt;height:165pt;z-index:-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  <v:imagedata r:id="rId9" o:title=""/>
            <v:path textboxrect="0,0,0,0"/>
          </v:shape>
          <o:OLEObject Type="Embed" ProgID="Acrobat.Document.DC" ShapeID="_x0000_i0" DrawAspect="Content" ObjectID="_1819430682" r:id="rId10"/>
        </w:pict>
      </w:r>
    </w:p>
    <w:p w:rsidR="008F479B" w:rsidRDefault="008F479B">
      <w:pPr>
        <w:spacing w:after="144" w:line="270" w:lineRule="atLeast"/>
        <w:jc w:val="both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</w:p>
    <w:p w:rsidR="008F479B" w:rsidRDefault="008F479B">
      <w:pPr>
        <w:spacing w:after="144" w:line="270" w:lineRule="atLeast"/>
        <w:jc w:val="both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</w:p>
    <w:p w:rsidR="008F479B" w:rsidRDefault="008F479B">
      <w:pPr>
        <w:spacing w:after="144" w:line="270" w:lineRule="atLeast"/>
        <w:jc w:val="both"/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pPr>
    </w:p>
    <w:p w:rsidR="008F479B" w:rsidRDefault="00703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7"/>
        <w:jc w:val="both"/>
        <w:rPr>
          <w:rFonts w:ascii="Segoe UI" w:hAnsi="Segoe UI" w:cs="Segoe U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  <w:lang w:eastAsia="ru-RU"/>
        </w:rPr>
        <w:t>Гаражной амнистии 4 года!</w:t>
      </w:r>
    </w:p>
    <w:p w:rsidR="008F479B" w:rsidRDefault="007036CF">
      <w:pPr>
        <w:jc w:val="both"/>
        <w:rPr>
          <w:rFonts w:ascii="Segoe UI" w:hAnsi="Segoe UI" w:cs="Segoe UI"/>
          <w:b/>
          <w:color w:val="000000" w:themeColor="text1"/>
          <w:highlight w:val="white"/>
        </w:rPr>
      </w:pPr>
      <w:r>
        <w:rPr>
          <w:rFonts w:ascii="Segoe UI" w:hAnsi="Segoe UI" w:cs="Segoe UI"/>
          <w:b/>
          <w:noProof/>
          <w:color w:val="000000" w:themeColor="text1"/>
          <w:highlight w:val="white"/>
          <w:lang w:eastAsia="ru-RU" w:bidi="ar-SA"/>
        </w:rPr>
        <mc:AlternateContent>
          <mc:Choice Requires="wpg">
            <w:drawing>
              <wp:anchor distT="0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32" type="#_x0000_t32" style="position:absolute;z-index:251656704;o:allowoverlap:true;o:allowincell:true;mso-position-horizontal-relative:text;margin-left:-5.95pt;mso-position-horizontal:absolute;mso-position-vertical-relative:text;margin-top:3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 w:rsidR="008F479B" w:rsidRDefault="007036CF">
      <w:pPr>
        <w:ind w:firstLine="708"/>
        <w:jc w:val="both"/>
        <w:rPr>
          <w:rFonts w:eastAsia="Times New Roman" w:cs="Times New Roman"/>
          <w:bCs/>
          <w:i/>
          <w:sz w:val="32"/>
          <w:szCs w:val="32"/>
          <w:lang w:eastAsia="ru-RU" w:bidi="ar-SA"/>
        </w:rPr>
      </w:pPr>
      <w:r>
        <w:rPr>
          <w:rFonts w:eastAsia="Times New Roman" w:cs="Times New Roman"/>
          <w:i/>
          <w:iCs/>
          <w:sz w:val="32"/>
          <w:szCs w:val="32"/>
          <w:lang w:eastAsia="ru-RU" w:bidi="ar-SA"/>
        </w:rPr>
        <w:t>Четыре года назад, в сентябре 2021 года, вступил в силу закон о «Гаражной амнистии», который позволяет владельцам гаражей бесплатно получить в собственность землю под строением, зарегистрировать на нее права, одновременно оформив права на гараж.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>
      <w:pPr>
        <w:tabs>
          <w:tab w:val="left" w:pos="2064"/>
        </w:tabs>
        <w:ind w:firstLine="708"/>
        <w:jc w:val="both"/>
      </w:pPr>
      <w:r>
        <w:rPr>
          <w:rFonts w:eastAsia="Times New Roman" w:cs="Times New Roman"/>
          <w:sz w:val="28"/>
          <w:szCs w:val="28"/>
          <w:lang w:eastAsia="ru-RU" w:bidi="ar-SA"/>
        </w:rPr>
        <w:t>Закон о «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гаражной амнистии» - Федеральный закон от 5 апреля 2021 года № 79-ФЗ «О внесении изменений в отдельные законодательные акты Российской Федерации» </w:t>
      </w:r>
      <w:proofErr w:type="gramStart"/>
      <w:r>
        <w:rPr>
          <w:rFonts w:eastAsia="Times New Roman" w:cs="Times New Roman"/>
          <w:sz w:val="28"/>
          <w:szCs w:val="28"/>
          <w:lang w:eastAsia="ru-RU" w:bidi="ar-SA"/>
        </w:rPr>
        <w:t>вступил в силу 1 сентября 2021 года и будет действовать</w:t>
      </w:r>
      <w:proofErr w:type="gramEnd"/>
      <w:r>
        <w:rPr>
          <w:rFonts w:eastAsia="Times New Roman" w:cs="Times New Roman"/>
          <w:sz w:val="28"/>
          <w:szCs w:val="28"/>
          <w:lang w:eastAsia="ru-RU" w:bidi="ar-SA"/>
        </w:rPr>
        <w:t xml:space="preserve"> до 1 сентября 2026 года. Амнистией закон называют из-з</w:t>
      </w:r>
      <w:r>
        <w:rPr>
          <w:rFonts w:eastAsia="Times New Roman" w:cs="Times New Roman"/>
          <w:sz w:val="28"/>
          <w:szCs w:val="28"/>
          <w:lang w:eastAsia="ru-RU" w:bidi="ar-SA"/>
        </w:rPr>
        <w:t>а упрощенного порядка оформления недвижимости в собственность.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>
      <w:pPr>
        <w:tabs>
          <w:tab w:val="left" w:pos="2064"/>
        </w:tabs>
        <w:ind w:firstLine="708"/>
        <w:jc w:val="both"/>
      </w:pPr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>В каких случаях можно воспользоваться «гаражной амнистией»?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 w:rsidP="007036CF">
      <w:pPr>
        <w:pStyle w:val="afb"/>
        <w:numPr>
          <w:ilvl w:val="0"/>
          <w:numId w:val="1"/>
        </w:numPr>
        <w:tabs>
          <w:tab w:val="left" w:pos="2064"/>
        </w:tabs>
        <w:jc w:val="both"/>
      </w:pPr>
      <w:r>
        <w:rPr>
          <w:sz w:val="28"/>
          <w:szCs w:val="28"/>
        </w:rPr>
        <w:t>Гараж является капитальным строением, т.е. на фундаменте, который прочно связан с землёй.</w:t>
      </w:r>
    </w:p>
    <w:p w:rsidR="008F479B" w:rsidRDefault="007036CF" w:rsidP="007036CF">
      <w:pPr>
        <w:pStyle w:val="afb"/>
        <w:numPr>
          <w:ilvl w:val="0"/>
          <w:numId w:val="1"/>
        </w:numPr>
        <w:tabs>
          <w:tab w:val="left" w:pos="2064"/>
        </w:tabs>
        <w:jc w:val="both"/>
      </w:pPr>
      <w:r>
        <w:rPr>
          <w:sz w:val="28"/>
          <w:szCs w:val="28"/>
        </w:rPr>
        <w:t>Гараж был возведен до 30 декабря 2004 год</w:t>
      </w:r>
      <w:r>
        <w:rPr>
          <w:sz w:val="28"/>
          <w:szCs w:val="28"/>
        </w:rPr>
        <w:t>а (до вступления в силу Градостроительного кодекса РФ). И здесь важна дата строительства гаража, а не приобретения по договору купли-продажи. При наследовании учитываются также строительство гаража наследодателем до 30 декабря 2004 года.</w:t>
      </w:r>
    </w:p>
    <w:p w:rsidR="008F479B" w:rsidRDefault="007036CF" w:rsidP="007036CF">
      <w:pPr>
        <w:pStyle w:val="afb"/>
        <w:numPr>
          <w:ilvl w:val="0"/>
          <w:numId w:val="1"/>
        </w:numPr>
        <w:tabs>
          <w:tab w:val="left" w:pos="2064"/>
        </w:tabs>
        <w:jc w:val="both"/>
      </w:pPr>
      <w:r>
        <w:rPr>
          <w:sz w:val="28"/>
          <w:szCs w:val="28"/>
        </w:rPr>
        <w:t>Гараж не признан с</w:t>
      </w:r>
      <w:r>
        <w:rPr>
          <w:sz w:val="28"/>
          <w:szCs w:val="28"/>
        </w:rPr>
        <w:t>амовольной постройкой судом или органом местного самоуправления.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>
      <w:pPr>
        <w:tabs>
          <w:tab w:val="left" w:pos="2064"/>
        </w:tabs>
        <w:ind w:firstLine="708"/>
        <w:jc w:val="both"/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При этом не имеет значение, является ли гараж отдельно стоящим строением, или имеет общие стены и крышу с другими гаражами. </w:t>
      </w:r>
      <w:r>
        <w:rPr>
          <w:rFonts w:eastAsia="Times New Roman" w:cs="Times New Roman"/>
          <w:sz w:val="28"/>
          <w:szCs w:val="28"/>
          <w:lang w:eastAsia="ru-RU" w:bidi="ar-SA"/>
        </w:rPr>
        <w:t>Под «амнистию» не попадают гараж</w:t>
      </w:r>
      <w:proofErr w:type="gramStart"/>
      <w:r>
        <w:rPr>
          <w:rFonts w:eastAsia="Times New Roman" w:cs="Times New Roman"/>
          <w:sz w:val="28"/>
          <w:szCs w:val="28"/>
          <w:lang w:eastAsia="ru-RU" w:bidi="ar-SA"/>
        </w:rPr>
        <w:t>и-</w:t>
      </w:r>
      <w:proofErr w:type="gramEnd"/>
      <w:r>
        <w:rPr>
          <w:rFonts w:eastAsia="Times New Roman" w:cs="Times New Roman"/>
          <w:sz w:val="28"/>
          <w:szCs w:val="28"/>
          <w:lang w:eastAsia="ru-RU" w:bidi="ar-SA"/>
        </w:rPr>
        <w:t>«ракушки», гаражи в многоквартирных домах, пристройки к другому зданию и подземный паркинг.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>
      <w:pPr>
        <w:tabs>
          <w:tab w:val="left" w:pos="2064"/>
        </w:tabs>
        <w:ind w:firstLine="708"/>
        <w:jc w:val="both"/>
      </w:pPr>
      <w:r>
        <w:rPr>
          <w:rFonts w:eastAsia="Times New Roman" w:cs="Times New Roman"/>
          <w:sz w:val="28"/>
          <w:szCs w:val="28"/>
          <w:lang w:eastAsia="ru-RU" w:bidi="ar-SA"/>
        </w:rPr>
        <w:t>«За четыре года действия «гаражной амнистии» на территории Новгородской области более 600 граждан уже воспользовались правом офор</w:t>
      </w:r>
      <w:r>
        <w:rPr>
          <w:rFonts w:eastAsia="Times New Roman" w:cs="Times New Roman"/>
          <w:sz w:val="28"/>
          <w:szCs w:val="28"/>
          <w:lang w:eastAsia="ru-RU" w:bidi="ar-SA"/>
        </w:rPr>
        <w:t>мления недвижимости в рамках закона. При этом в регионе еще осталось большое количество земельных участков и гаражей, информация о правах которых отсутствует в ЕГРН, а это значит, что владелец не может в полном объеме распоряжаться своим имуществом: продат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ь, подарить, завещать. </w:t>
      </w:r>
      <w:r>
        <w:rPr>
          <w:rFonts w:eastAsia="Times New Roman" w:cs="Times New Roman"/>
          <w:sz w:val="28"/>
          <w:szCs w:val="28"/>
          <w:lang w:eastAsia="ru-RU" w:bidi="ar-SA"/>
        </w:rPr>
        <w:lastRenderedPageBreak/>
        <w:t xml:space="preserve">Поэтому мы советуем гражданам навести порядок в своем имуществе, зафиксировав свои права в реестре недвижимости», - рассказывает об «амнистии» руководитель Управления </w:t>
      </w:r>
      <w:proofErr w:type="spellStart"/>
      <w:r>
        <w:rPr>
          <w:rFonts w:eastAsia="Times New Roman" w:cs="Times New Roman"/>
          <w:sz w:val="28"/>
          <w:szCs w:val="28"/>
          <w:lang w:eastAsia="ru-RU" w:bidi="ar-SA"/>
        </w:rPr>
        <w:t>Росреестра</w:t>
      </w:r>
      <w:proofErr w:type="spellEnd"/>
      <w:r>
        <w:rPr>
          <w:rFonts w:eastAsia="Times New Roman" w:cs="Times New Roman"/>
          <w:sz w:val="28"/>
          <w:szCs w:val="28"/>
          <w:lang w:eastAsia="ru-RU" w:bidi="ar-SA"/>
        </w:rPr>
        <w:t xml:space="preserve"> по Новгородской области Светлана </w:t>
      </w:r>
      <w:proofErr w:type="spellStart"/>
      <w:r>
        <w:rPr>
          <w:rFonts w:eastAsia="Times New Roman" w:cs="Times New Roman"/>
          <w:sz w:val="28"/>
          <w:szCs w:val="28"/>
          <w:lang w:eastAsia="ru-RU" w:bidi="ar-SA"/>
        </w:rPr>
        <w:t>Луговцова</w:t>
      </w:r>
      <w:proofErr w:type="spellEnd"/>
      <w:r>
        <w:rPr>
          <w:rFonts w:eastAsia="Times New Roman" w:cs="Times New Roman"/>
          <w:sz w:val="28"/>
          <w:szCs w:val="28"/>
          <w:lang w:eastAsia="ru-RU" w:bidi="ar-SA"/>
        </w:rPr>
        <w:t>.</w:t>
      </w:r>
    </w:p>
    <w:p w:rsidR="008F479B" w:rsidRDefault="008F479B">
      <w:pPr>
        <w:tabs>
          <w:tab w:val="left" w:pos="2064"/>
        </w:tabs>
        <w:ind w:firstLine="708"/>
        <w:jc w:val="both"/>
      </w:pPr>
    </w:p>
    <w:p w:rsidR="008F479B" w:rsidRDefault="007036CF">
      <w:pPr>
        <w:tabs>
          <w:tab w:val="left" w:pos="2064"/>
        </w:tabs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 рамках р</w:t>
      </w:r>
      <w:r>
        <w:rPr>
          <w:rFonts w:eastAsia="Times New Roman" w:cs="Times New Roman"/>
          <w:sz w:val="28"/>
          <w:szCs w:val="28"/>
          <w:lang w:eastAsia="ru-RU" w:bidi="ar-SA"/>
        </w:rPr>
        <w:t>еализации комплексных кадастровых работ, которые проводятся в Новгородской области с 2019 года, особое внимание уделяется гаражным кооперативам. Муниципальные образования региона целенаправленно включают такие территории в перечень для проведения работ, чт</w:t>
      </w:r>
      <w:r>
        <w:rPr>
          <w:rFonts w:eastAsia="Times New Roman" w:cs="Times New Roman"/>
          <w:sz w:val="28"/>
          <w:szCs w:val="28"/>
          <w:lang w:eastAsia="ru-RU" w:bidi="ar-SA"/>
        </w:rPr>
        <w:t>о уже позволило установить границы для около 2 тысяч объектов – земельных участков под гаражами и самих объектов капитального строительства. Это существенно помогает гражданам, планирующим воспользоваться «гаражной амнистией», поскольку для упрощенного офо</w:t>
      </w:r>
      <w:r>
        <w:rPr>
          <w:rFonts w:eastAsia="Times New Roman" w:cs="Times New Roman"/>
          <w:sz w:val="28"/>
          <w:szCs w:val="28"/>
          <w:lang w:eastAsia="ru-RU" w:bidi="ar-SA"/>
        </w:rPr>
        <w:t>рмления прав необходимы установленные границы объекта недвижимости. Комплексные кадастровые работы решают этот вопрос без финансовых затрат со стороны владельцев гаражей, избавляя их от необходимости самостоятельного обращения к кадастровым инженерам.</w:t>
      </w:r>
    </w:p>
    <w:p w:rsidR="008F479B" w:rsidRDefault="008F479B">
      <w:pPr>
        <w:tabs>
          <w:tab w:val="left" w:pos="2064"/>
        </w:tabs>
        <w:ind w:firstLine="708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8F479B" w:rsidRDefault="008F479B">
      <w:pPr>
        <w:tabs>
          <w:tab w:val="left" w:pos="2064"/>
        </w:tabs>
        <w:ind w:left="720"/>
        <w:jc w:val="both"/>
      </w:pPr>
    </w:p>
    <w:p w:rsidR="008F479B" w:rsidRDefault="008F479B">
      <w:pPr>
        <w:tabs>
          <w:tab w:val="left" w:pos="2064"/>
        </w:tabs>
        <w:ind w:left="720"/>
        <w:jc w:val="both"/>
      </w:pPr>
    </w:p>
    <w:p w:rsidR="008F479B" w:rsidRDefault="008F479B">
      <w:pPr>
        <w:jc w:val="both"/>
        <w:rPr>
          <w:rFonts w:ascii="DejaVu Serif Condensed" w:eastAsia="DejaVu Serif Condensed" w:hAnsi="DejaVu Serif Condensed" w:cs="DejaVu Serif Condensed"/>
          <w:b/>
          <w:bCs/>
          <w:color w:val="000000" w:themeColor="text1"/>
          <w:highlight w:val="white"/>
        </w:rPr>
      </w:pPr>
    </w:p>
    <w:p w:rsidR="008F479B" w:rsidRDefault="008F479B">
      <w:pPr>
        <w:jc w:val="both"/>
        <w:rPr>
          <w:rFonts w:ascii="DejaVu Serif Condensed" w:eastAsia="DejaVu Serif Condensed" w:hAnsi="DejaVu Serif Condensed" w:cs="DejaVu Serif Condensed"/>
          <w:b/>
          <w:bCs/>
          <w:color w:val="000000" w:themeColor="text1"/>
          <w:highlight w:val="white"/>
        </w:rPr>
      </w:pPr>
    </w:p>
    <w:p w:rsidR="008F479B" w:rsidRDefault="008F479B">
      <w:pPr>
        <w:jc w:val="both"/>
        <w:rPr>
          <w:rFonts w:ascii="DejaVu Serif Condensed" w:eastAsia="DejaVu Serif Condensed" w:hAnsi="DejaVu Serif Condensed" w:cs="DejaVu Serif Condensed"/>
          <w:b/>
          <w:bCs/>
          <w:color w:val="000000" w:themeColor="text1"/>
          <w:highlight w:val="white"/>
        </w:rPr>
      </w:pPr>
    </w:p>
    <w:p w:rsidR="008F479B" w:rsidRDefault="007036CF">
      <w:pPr>
        <w:jc w:val="both"/>
        <w:rPr>
          <w:rFonts w:ascii="DejaVu Serif Condensed" w:eastAsia="DejaVu Serif Condensed" w:hAnsi="DejaVu Serif Condensed" w:cs="DejaVu Serif Condensed"/>
          <w:b/>
          <w:bCs/>
          <w:color w:val="000000" w:themeColor="text1"/>
          <w:lang w:eastAsia="sk-SK"/>
        </w:rPr>
      </w:pPr>
      <w:r>
        <w:rPr>
          <w:rFonts w:ascii="DejaVu Serif Condensed" w:eastAsia="DejaVu Serif Condensed" w:hAnsi="DejaVu Serif Condensed" w:cs="DejaVu Serif Condensed"/>
          <w:b/>
          <w:color w:val="000000" w:themeColor="text1"/>
          <w:highlight w:val="white"/>
          <w:lang w:eastAsia="sk-SK"/>
        </w:rPr>
        <w:t>Контакты для СМИ</w:t>
      </w: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proofErr w:type="spellStart"/>
      <w:r>
        <w:rPr>
          <w:rFonts w:ascii="DejaVu Serif Condensed" w:eastAsia="DejaVu Serif Condensed" w:hAnsi="DejaVu Serif Condensed" w:cs="DejaVu Serif Condensed"/>
          <w:color w:val="000000" w:themeColor="text1"/>
          <w:highlight w:val="white"/>
          <w:lang w:eastAsia="en-US"/>
        </w:rPr>
        <w:t>Верткова</w:t>
      </w:r>
      <w:proofErr w:type="spellEnd"/>
      <w:r>
        <w:rPr>
          <w:rFonts w:ascii="DejaVu Serif Condensed" w:eastAsia="DejaVu Serif Condensed" w:hAnsi="DejaVu Serif Condensed" w:cs="DejaVu Serif Condensed"/>
          <w:color w:val="000000" w:themeColor="text1"/>
          <w:highlight w:val="white"/>
          <w:lang w:eastAsia="en-US"/>
        </w:rPr>
        <w:t xml:space="preserve"> Александра Дмитриевна</w:t>
      </w: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eastAsia="DejaVu Serif Condensed" w:hAnsi="DejaVu Serif Condensed" w:cs="DejaVu Serif Condensed"/>
          <w:color w:val="000000" w:themeColor="text1"/>
          <w:highlight w:val="white"/>
          <w:lang w:eastAsia="en-US"/>
        </w:rPr>
        <w:t xml:space="preserve">Помощник руководителя  </w:t>
      </w:r>
    </w:p>
    <w:p w:rsidR="008F479B" w:rsidRDefault="008F479B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eastAsia="DejaVu Serif Condensed" w:hAnsi="DejaVu Serif Condensed" w:cs="DejaVu Serif Condensed"/>
          <w:color w:val="000000" w:themeColor="text1"/>
          <w:highlight w:val="white"/>
          <w:lang w:eastAsia="en-US"/>
        </w:rPr>
        <w:t>+7 911 6119284</w:t>
      </w: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eastAsia="DejaVu Serif Condensed" w:hAnsi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>8 (816 2) 943-087</w:t>
      </w: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eastAsia="DejaVu Serif Condensed" w:hAnsi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>vertkova_ad@r53.rosreestr.ru</w:t>
      </w:r>
    </w:p>
    <w:p w:rsidR="008F479B" w:rsidRDefault="007036CF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pPr>
      <w:r>
        <w:rPr>
          <w:rFonts w:ascii="DejaVu Serif Condensed" w:eastAsia="DejaVu Serif Condensed" w:hAnsi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173002, Великий Новгород, </w:t>
      </w:r>
      <w:proofErr w:type="gramStart"/>
      <w:r>
        <w:rPr>
          <w:rFonts w:ascii="DejaVu Serif Condensed" w:eastAsia="DejaVu Serif Condensed" w:hAnsi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>Октябрьская</w:t>
      </w:r>
      <w:proofErr w:type="gramEnd"/>
      <w:r>
        <w:rPr>
          <w:rFonts w:ascii="DejaVu Serif Condensed" w:eastAsia="DejaVu Serif Condensed" w:hAnsi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>, д. 17</w:t>
      </w:r>
    </w:p>
    <w:sectPr w:rsidR="008F479B">
      <w:footerReference w:type="default" r:id="rId11"/>
      <w:pgSz w:w="11906" w:h="16838"/>
      <w:pgMar w:top="851" w:right="707" w:bottom="11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9B" w:rsidRDefault="007036CF">
      <w:r>
        <w:separator/>
      </w:r>
    </w:p>
  </w:endnote>
  <w:endnote w:type="continuationSeparator" w:id="0">
    <w:p w:rsidR="008F479B" w:rsidRDefault="007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 Condensed">
    <w:altName w:val="Bodoni MT Condense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9B" w:rsidRDefault="008F479B">
    <w:pPr>
      <w:pStyle w:val="af3"/>
      <w:jc w:val="center"/>
    </w:pPr>
  </w:p>
  <w:p w:rsidR="008F479B" w:rsidRDefault="008F479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9B" w:rsidRDefault="007036CF">
      <w:r>
        <w:separator/>
      </w:r>
    </w:p>
  </w:footnote>
  <w:footnote w:type="continuationSeparator" w:id="0">
    <w:p w:rsidR="008F479B" w:rsidRDefault="0070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82ACF"/>
    <w:multiLevelType w:val="hybridMultilevel"/>
    <w:tmpl w:val="FD101190"/>
    <w:lvl w:ilvl="0" w:tplc="13A26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6583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285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AAC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4E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CADD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74B9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DE9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CE8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9B"/>
    <w:rsid w:val="007036CF"/>
    <w:rsid w:val="008F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Normal (Web)"/>
    <w:basedOn w:val="a"/>
    <w:uiPriority w:val="99"/>
    <w:unhideWhenUsed/>
    <w:pPr>
      <w:widowControl/>
      <w:spacing w:after="96"/>
    </w:pPr>
    <w:rPr>
      <w:rFonts w:eastAsia="Times New Roman" w:cs="Times New Roman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Arial Unicode MS" w:hAnsi="Tahoma" w:cs="Mangal"/>
      <w:sz w:val="16"/>
      <w:szCs w:val="14"/>
      <w:lang w:eastAsia="hi-IN" w:bidi="hi-IN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widowControl/>
      <w:ind w:left="720"/>
      <w:contextualSpacing/>
    </w:pPr>
    <w:rPr>
      <w:rFonts w:eastAsia="Times New Roman" w:cs="Times New Roman"/>
      <w:lang w:eastAsia="ru-RU" w:bidi="ar-SA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e">
    <w:name w:val="Верхний колонтитул Знак"/>
    <w:basedOn w:val="a0"/>
    <w:link w:val="afd"/>
    <w:uiPriority w:val="99"/>
    <w:semiHidden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hi-IN" w:bidi="hi-IN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Arial Unicode MS" w:hAnsi="Times New Roman" w:cs="Mangal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Arial Unicode MS" w:hAnsi="Times New Roman" w:cs="Mangal"/>
      <w:b/>
      <w:bCs/>
      <w:sz w:val="20"/>
      <w:szCs w:val="18"/>
      <w:lang w:eastAsia="hi-IN" w:bidi="hi-IN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Times New Roman" w:eastAsia="Arial Unicode MS" w:hAnsi="Times New Roman" w:cs="Mangal"/>
      <w:sz w:val="24"/>
      <w:szCs w:val="21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">
    <w:name w:val="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Normal (Web)"/>
    <w:basedOn w:val="a"/>
    <w:uiPriority w:val="99"/>
    <w:unhideWhenUsed/>
    <w:pPr>
      <w:widowControl/>
      <w:spacing w:after="96"/>
    </w:pPr>
    <w:rPr>
      <w:rFonts w:eastAsia="Times New Roman" w:cs="Times New Roman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Arial Unicode MS" w:hAnsi="Tahoma" w:cs="Mangal"/>
      <w:sz w:val="16"/>
      <w:szCs w:val="14"/>
      <w:lang w:eastAsia="hi-IN" w:bidi="hi-IN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widowControl/>
      <w:ind w:left="720"/>
      <w:contextualSpacing/>
    </w:pPr>
    <w:rPr>
      <w:rFonts w:eastAsia="Times New Roman" w:cs="Times New Roman"/>
      <w:lang w:eastAsia="ru-RU" w:bidi="ar-SA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e">
    <w:name w:val="Верхний колонтитул Знак"/>
    <w:basedOn w:val="a0"/>
    <w:link w:val="afd"/>
    <w:uiPriority w:val="99"/>
    <w:semiHidden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hi-IN" w:bidi="hi-IN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Arial Unicode MS" w:hAnsi="Times New Roman" w:cs="Mangal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Arial Unicode MS" w:hAnsi="Times New Roman" w:cs="Mangal"/>
      <w:b/>
      <w:bCs/>
      <w:sz w:val="20"/>
      <w:szCs w:val="18"/>
      <w:lang w:eastAsia="hi-IN" w:bidi="hi-IN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Times New Roman" w:eastAsia="Arial Unicode MS" w:hAnsi="Times New Roman" w:cs="Mangal"/>
      <w:sz w:val="24"/>
      <w:szCs w:val="21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">
    <w:name w:val="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AD1BB-5E25-4ED5-8D20-7A2AF81F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Малинина Ирина Николаевна</cp:lastModifiedBy>
  <cp:revision>2</cp:revision>
  <dcterms:created xsi:type="dcterms:W3CDTF">2025-09-15T05:38:00Z</dcterms:created>
  <dcterms:modified xsi:type="dcterms:W3CDTF">2025-09-15T05:38:00Z</dcterms:modified>
</cp:coreProperties>
</file>