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6"/>
          <w:szCs w:val="36"/>
          <w:lang w:eastAsia="ru-RU"/>
        </w:rPr>
      </w:pPr>
      <w:r>
        <w:rPr/>
        <w:drawing>
          <wp:inline distT="0" distB="0" distL="0" distR="0">
            <wp:extent cx="2571750" cy="1057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sz w:val="36"/>
          <w:szCs w:val="36"/>
          <w:lang w:eastAsia="ru-RU"/>
        </w:rPr>
        <w:tab/>
        <w:tab/>
        <w:tab/>
        <w:tab/>
        <w:tab/>
      </w:r>
    </w:p>
    <w:p>
      <w:pPr>
        <w:pStyle w:val="Normal"/>
        <w:rPr>
          <w:rFonts w:ascii="Segoe UI" w:hAnsi="Segoe UI" w:cs="Segoe UI"/>
          <w:b/>
          <w:b/>
          <w:sz w:val="32"/>
          <w:szCs w:val="32"/>
          <w:lang w:eastAsia="sk-SK"/>
        </w:rPr>
      </w:pPr>
      <w:r>
        <w:rPr/>
      </w:r>
    </w:p>
    <w:p>
      <w:pPr>
        <w:pStyle w:val="Normal"/>
        <w:rPr>
          <w:rFonts w:ascii="Segoe UI" w:hAnsi="Segoe UI" w:cs="Segoe UI"/>
          <w:b/>
          <w:b/>
          <w:sz w:val="32"/>
          <w:szCs w:val="32"/>
          <w:lang w:eastAsia="sk-SK"/>
        </w:rPr>
      </w:pPr>
      <w:r>
        <w:rPr/>
      </w:r>
    </w:p>
    <w:p>
      <w:pPr>
        <w:pStyle w:val="Normal"/>
        <w:rPr/>
      </w:pPr>
      <w:r>
        <w:rPr>
          <w:rFonts w:cs="Segoe UI" w:ascii="Segoe UI" w:hAnsi="Segoe UI"/>
          <w:b/>
          <w:sz w:val="32"/>
          <w:szCs w:val="32"/>
          <w:lang w:eastAsia="sk-SK"/>
        </w:rPr>
        <w:t xml:space="preserve">  </w:t>
      </w:r>
      <w:r>
        <w:rPr>
          <w:rFonts w:cs="Segoe UI" w:ascii="Segoe UI" w:hAnsi="Segoe UI"/>
          <w:b/>
          <w:sz w:val="32"/>
          <w:szCs w:val="32"/>
          <w:lang w:eastAsia="sk-SK"/>
        </w:rPr>
        <w:t>В регистрации собственности отказано.</w:t>
      </w:r>
    </w:p>
    <w:p>
      <w:pPr>
        <w:pStyle w:val="Normal"/>
        <w:jc w:val="both"/>
        <w:rPr>
          <w:rFonts w:ascii="Segoe UI" w:hAnsi="Segoe UI" w:cs="Segoe UI"/>
          <w:b/>
          <w:b/>
          <w:color w:val="0070C0"/>
          <w:lang w:eastAsia="sk-SK"/>
        </w:rPr>
      </w:pPr>
      <w:r>
        <w:rPr>
          <w:rFonts w:cs="Segoe UI" w:ascii="Segoe UI" w:hAnsi="Segoe UI"/>
          <w:b/>
          <w:color w:val="0070C0"/>
          <w:lang w:eastAsia="sk-SK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2020" cy="1905"/>
                <wp:effectExtent l="0" t="0" r="0" b="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Управлении Росреестра по Новгородской области на особый контроль будут взяты сделки с объектами недвижимого имущества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 не резидентами РФ.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Президент Российской Федерации Владимир Путин подписал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3">
        <w:r>
          <w:rPr>
            <w:rStyle w:val="Style12"/>
            <w:rFonts w:ascii="Times New Roman" w:hAnsi="Times New Roman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от 01.03.2022 № 81 "О дополнительных временных мерах экономического характера по обеспечению финансовой стабильности Российской Федерации"</w:t>
      </w:r>
      <w:r>
        <w:rPr>
          <w:rFonts w:ascii="Times New Roman" w:hAnsi="Times New Roman"/>
          <w:b/>
          <w:sz w:val="28"/>
          <w:szCs w:val="28"/>
        </w:rPr>
        <w:t>, которым введен особый порядок осуществления (исполнения)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сделок с недвижимым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влекущих возникновение права собственности на недвижимое имущество, с указанными в нем иностранными лицами, связанными с иностранными государствами, совершающими недружественные действия, и с лицами, которые находятся под контролем указанных иностранных лиц.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Указу названные выше сделки могут осуществляться (исполняться) только на основании разрешений Правительственной комиссии по контролю за осуществлением иностранных инвестиций в Российской Федерации. Обращаем внимание, что под недвижимым имуществом понимаются и земельные участки, и здания, помещения, прочие объекты недвижимости, права на которые подлежат регистрации в установленном Федеральным законом от 13.07.2015 № 218-ФЗ «О государственной регистрации недвижимости» порядке. 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действие данного Указа не распространяется на сделки, одной из сторон которых является Центральный банк Российской Федерации и государственные органы. </w:t>
      </w:r>
    </w:p>
    <w:p>
      <w:pPr>
        <w:pStyle w:val="Style1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Style17"/>
        <w:jc w:val="both"/>
        <w:rPr/>
      </w:pPr>
      <w:r>
        <w: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запроса), в том числе при отсутствии названного в Указе разрешения – о приостановлении регистрационных действий по заявлению, можно посредством электронного сервиса «Проверка исполнения запроса (заявления)» на официальном сайте Росреестра (</w:t>
      </w:r>
      <w:hyperlink r:id="rId4">
        <w:r>
          <w:rPr>
            <w:rStyle w:val="Style12"/>
            <w:rFonts w:ascii="Times New Roman" w:hAnsi="Times New Roman"/>
            <w:sz w:val="28"/>
            <w:szCs w:val="28"/>
          </w:rPr>
          <w:t>https://rosreestr.ru/wps/portal/cc_check_request_status</w:t>
        </w:r>
      </w:hyperlink>
      <w:r>
        <w:rPr>
          <w:rFonts w:ascii="Times New Roman" w:hAnsi="Times New Roman"/>
          <w:i/>
          <w:sz w:val="28"/>
          <w:szCs w:val="28"/>
        </w:rPr>
        <w:t>). Онлайн-проверка статуса запроса или заявления доступна через 3 – 5 дней после подачи заявления на предоставление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7"/>
        <w:spacing w:before="0" w:after="0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ind w:firstLine="708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cs="Segoe UI" w:asciiTheme="majorHAnsi" w:hAnsiTheme="majorHAnsi"/>
          <w:b/>
          <w:b/>
          <w:sz w:val="28"/>
          <w:szCs w:val="28"/>
          <w:lang w:eastAsia="sk-SK"/>
        </w:rPr>
      </w:pPr>
      <w:r>
        <w:rPr>
          <w:rFonts w:cs="Segoe UI" w:ascii="Cambria" w:hAnsi="Cambria" w:asciiTheme="majorHAnsi" w:hAnsiTheme="majorHAnsi"/>
          <w:b/>
          <w:sz w:val="28"/>
          <w:szCs w:val="28"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Cambria" w:hAnsi="Cambria" w:eastAsia="Calibri" w:cs="Segoe UI" w:asciiTheme="majorHAnsi" w:hAnsiTheme="majorHAnsi"/>
          <w:sz w:val="28"/>
          <w:szCs w:val="28"/>
          <w:lang w:eastAsia="en-US"/>
        </w:rPr>
      </w:pPr>
      <w:r>
        <w:rPr>
          <w:rFonts w:eastAsia="Calibri" w:cs="Segoe UI" w:ascii="Cambria" w:hAnsi="Cambria" w:asciiTheme="majorHAnsi" w:hAnsiTheme="majorHAnsi"/>
          <w:sz w:val="28"/>
          <w:szCs w:val="28"/>
          <w:lang w:eastAsia="en-US"/>
        </w:rPr>
        <w:t xml:space="preserve">Сараева Любовь Викторовна </w:t>
      </w:r>
    </w:p>
    <w:p>
      <w:pPr>
        <w:pStyle w:val="NormalWeb"/>
        <w:spacing w:before="0" w:after="0"/>
        <w:rPr>
          <w:rFonts w:ascii="Cambria" w:hAnsi="Cambria" w:eastAsia="Calibri" w:cs="Segoe UI" w:asciiTheme="majorHAnsi" w:hAnsiTheme="majorHAnsi"/>
          <w:sz w:val="28"/>
          <w:szCs w:val="28"/>
          <w:lang w:eastAsia="en-US"/>
        </w:rPr>
      </w:pPr>
      <w:r>
        <w:rPr>
          <w:rFonts w:eastAsia="Calibri" w:cs="Segoe UI" w:ascii="Cambria" w:hAnsi="Cambria" w:asciiTheme="majorHAnsi" w:hAnsiTheme="majorHAnsi"/>
          <w:sz w:val="28"/>
          <w:szCs w:val="28"/>
          <w:lang w:eastAsia="en-US"/>
        </w:rPr>
        <w:t xml:space="preserve">Помощник руководителя  </w:t>
      </w:r>
    </w:p>
    <w:p>
      <w:pPr>
        <w:pStyle w:val="NormalWeb"/>
        <w:spacing w:before="0" w:after="0"/>
        <w:rPr>
          <w:rFonts w:ascii="Cambria" w:hAnsi="Cambria" w:eastAsia="Calibri" w:cs="Segoe UI" w:asciiTheme="majorHAnsi" w:hAnsiTheme="majorHAnsi"/>
          <w:sz w:val="28"/>
          <w:szCs w:val="28"/>
          <w:lang w:eastAsia="en-US"/>
        </w:rPr>
      </w:pPr>
      <w:r>
        <w:rPr>
          <w:rFonts w:eastAsia="Calibri" w:cs="Segoe UI" w:ascii="Cambria" w:hAnsi="Cambria"/>
          <w:sz w:val="28"/>
          <w:szCs w:val="28"/>
          <w:lang w:eastAsia="en-US"/>
        </w:rPr>
      </w:r>
    </w:p>
    <w:p>
      <w:pPr>
        <w:pStyle w:val="NormalWeb"/>
        <w:spacing w:before="0" w:after="0"/>
        <w:rPr>
          <w:rFonts w:ascii="Cambria" w:hAnsi="Cambria" w:eastAsia="Calibri" w:cs="Segoe UI" w:asciiTheme="majorHAnsi" w:hAnsiTheme="majorHAnsi"/>
          <w:sz w:val="28"/>
          <w:szCs w:val="28"/>
          <w:lang w:eastAsia="en-US"/>
        </w:rPr>
      </w:pPr>
      <w:r>
        <w:rPr>
          <w:rFonts w:eastAsia="Calibri" w:cs="Segoe UI" w:ascii="Cambria" w:hAnsi="Cambria" w:asciiTheme="majorHAnsi" w:hAnsiTheme="majorHAnsi"/>
          <w:sz w:val="28"/>
          <w:szCs w:val="28"/>
          <w:lang w:eastAsia="en-US"/>
        </w:rPr>
        <w:t>8 (816 2) 943-087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cs="Segoe UI" w:ascii="Segoe UI" w:hAnsi="Segoe UI"/>
          <w:sz w:val="20"/>
          <w:szCs w:val="20"/>
        </w:rPr>
        <w:t>+7 911 6119284</w:t>
      </w:r>
    </w:p>
    <w:p>
      <w:pPr>
        <w:pStyle w:val="NormalWeb"/>
        <w:spacing w:before="0" w:after="0"/>
        <w:rPr>
          <w:rFonts w:eastAsia="Calibr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173002, Великий Новгород, Октябрьская, д. 17</w:t>
      </w:r>
    </w:p>
    <w:p>
      <w:pPr>
        <w:pStyle w:val="NormalWeb"/>
        <w:spacing w:before="0" w:after="0"/>
        <w:rPr/>
      </w:pPr>
      <w:r>
        <w:rPr/>
      </w:r>
    </w:p>
    <w:sectPr>
      <w:footerReference w:type="default" r:id="rId5"/>
      <w:type w:val="nextPage"/>
      <w:pgSz w:w="11906" w:h="16838"/>
      <w:pgMar w:left="1276" w:right="992" w:header="720" w:top="851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09b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link w:val="10"/>
    <w:uiPriority w:val="9"/>
    <w:qFormat/>
    <w:rsid w:val="00db5bb7"/>
    <w:pPr>
      <w:widowControl/>
      <w:suppressAutoHyphens w:val="false"/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3284a"/>
    <w:pPr>
      <w:keepNext w:val="true"/>
      <w:keepLines/>
      <w:spacing w:before="40" w:after="0"/>
      <w:outlineLvl w:val="1"/>
    </w:pPr>
    <w:rPr>
      <w:rFonts w:ascii="Cambria" w:hAnsi="Cambria" w:eastAsia="" w:cs="Mangal"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d1ddd"/>
    <w:pPr>
      <w:keepNext w:val="true"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ижний колонтитул Знак"/>
    <w:basedOn w:val="DefaultParagraphFont"/>
    <w:link w:val="a3"/>
    <w:uiPriority w:val="99"/>
    <w:qFormat/>
    <w:rsid w:val="008409bb"/>
    <w:rPr>
      <w:rFonts w:ascii="Times New Roman" w:hAnsi="Times New Roman" w:eastAsia="Arial Unicode MS" w:cs="Mangal"/>
      <w:kern w:val="2"/>
      <w:sz w:val="24"/>
      <w:szCs w:val="21"/>
      <w:lang w:eastAsia="hi-IN" w:bidi="hi-IN"/>
    </w:rPr>
  </w:style>
  <w:style w:type="character" w:styleId="Style12">
    <w:name w:val="Интернет-ссылка"/>
    <w:uiPriority w:val="99"/>
    <w:rsid w:val="008409bb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8409bb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rong">
    <w:name w:val="Strong"/>
    <w:basedOn w:val="DefaultParagraphFont"/>
    <w:uiPriority w:val="22"/>
    <w:qFormat/>
    <w:rsid w:val="006b18a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b18a7"/>
    <w:rPr/>
  </w:style>
  <w:style w:type="character" w:styleId="Style14">
    <w:name w:val="Выделение"/>
    <w:basedOn w:val="DefaultParagraphFont"/>
    <w:uiPriority w:val="20"/>
    <w:qFormat/>
    <w:rsid w:val="006b18a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5ab"/>
    <w:rPr>
      <w:color w:val="800080" w:themeColor="followedHyperlink"/>
      <w:u w:val="single"/>
    </w:rPr>
  </w:style>
  <w:style w:type="character" w:styleId="ConsPlusNormal" w:customStyle="1">
    <w:name w:val="ConsPlusNormal Знак"/>
    <w:link w:val="ConsPlusNormal"/>
    <w:qFormat/>
    <w:locked/>
    <w:rsid w:val="006a71dd"/>
    <w:rPr>
      <w:rFonts w:ascii="Arial" w:hAnsi="Arial" w:cs="Arial"/>
      <w:sz w:val="20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b5bb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526b9e"/>
    <w:rPr>
      <w:rFonts w:ascii="Times New Roman" w:hAnsi="Times New Roman" w:eastAsia="Arial Unicode MS" w:cs="Mangal"/>
      <w:kern w:val="2"/>
      <w:sz w:val="24"/>
      <w:szCs w:val="21"/>
      <w:lang w:eastAsia="hi-IN" w:bidi="hi-I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d1ddd"/>
    <w:rPr>
      <w:rFonts w:ascii="Cambria" w:hAnsi="Cambria" w:eastAsia="" w:cs="Mangal" w:asciiTheme="majorHAnsi" w:eastAsiaTheme="majorEastAsia" w:hAnsiTheme="majorHAnsi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3284a"/>
    <w:rPr>
      <w:rFonts w:ascii="Cambria" w:hAnsi="Cambria" w:eastAsia="" w:cs="Mangal" w:asciiTheme="majorHAnsi" w:eastAsiaTheme="majorEastAsia" w:hAnsiTheme="majorHAnsi"/>
      <w:color w:val="365F91" w:themeColor="accent1" w:themeShade="bf"/>
      <w:kern w:val="2"/>
      <w:sz w:val="26"/>
      <w:szCs w:val="23"/>
      <w:lang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Footer"/>
    <w:basedOn w:val="Normal"/>
    <w:link w:val="a4"/>
    <w:uiPriority w:val="99"/>
    <w:unhideWhenUsed/>
    <w:rsid w:val="008409bb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8409bb"/>
    <w:pPr>
      <w:widowControl/>
      <w:suppressAutoHyphens w:val="false"/>
      <w:spacing w:before="0"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409bb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24964"/>
    <w:pPr>
      <w:widowControl/>
      <w:suppressAutoHyphens w:val="false"/>
      <w:spacing w:before="0" w:after="0"/>
      <w:ind w:left="720" w:hanging="0"/>
      <w:contextualSpacing/>
    </w:pPr>
    <w:rPr>
      <w:rFonts w:eastAsia="Times New Roman" w:cs="Times New Roman"/>
      <w:kern w:val="0"/>
      <w:lang w:eastAsia="ru-RU" w:bidi="ar-SA"/>
    </w:rPr>
  </w:style>
  <w:style w:type="paragraph" w:styleId="ConsPlusNormal1" w:customStyle="1">
    <w:name w:val="ConsPlusNormal"/>
    <w:link w:val="ConsPlusNormal0"/>
    <w:qFormat/>
    <w:rsid w:val="006a71d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Header"/>
    <w:basedOn w:val="Normal"/>
    <w:link w:val="ae"/>
    <w:uiPriority w:val="99"/>
    <w:semiHidden/>
    <w:unhideWhenUsed/>
    <w:rsid w:val="00526b9e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publication.pravo.gov.ru/Document/View/0001202203010083?index=1&amp;rangeSize=1" TargetMode="External"/><Relationship Id="rId4" Type="http://schemas.openxmlformats.org/officeDocument/2006/relationships/hyperlink" Target="https://rosreestr.ru/wps/portal/cc_check_request_status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E724-84E4-45D6-AE75-A1D0FE62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Application>LibreOffice/6.2.0.3$Windows_X86_64 LibreOffice_project/98c6a8a1c6c7b144ce3cc729e34964b47ce25d62</Application>
  <Pages>2</Pages>
  <Words>238</Words>
  <Characters>1745</Characters>
  <CharactersWithSpaces>1991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2022-02-16T14:43:00Z</dcterms:created>
  <dc:creator>Ксенофонтова Светлана Николаевна</dc:creator>
  <dc:description/>
  <dc:language>ru-RU</dc:language>
  <cp:lastModifiedBy/>
  <cp:lastPrinted>2022-02-11T09:04:00Z</cp:lastPrinted>
  <dcterms:modified xsi:type="dcterms:W3CDTF">2022-03-05T19:53:55Z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