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CC" w:rsidRDefault="00CA2EEB" w:rsidP="00E82C14">
      <w:pPr>
        <w:spacing w:after="0" w:line="240" w:lineRule="auto"/>
        <w:jc w:val="center"/>
        <w:rPr>
          <w:rFonts w:ascii="Times New Roman" w:hAnsi="Times New Roman"/>
          <w:b/>
        </w:rPr>
      </w:pPr>
      <w:r w:rsidRPr="00E82C14">
        <w:rPr>
          <w:rFonts w:ascii="Times New Roman" w:hAnsi="Times New Roman"/>
          <w:b/>
        </w:rPr>
        <w:t xml:space="preserve">Рекомендации </w:t>
      </w:r>
      <w:r w:rsidR="00D612CC" w:rsidRPr="00E82C14">
        <w:rPr>
          <w:rFonts w:ascii="Times New Roman" w:hAnsi="Times New Roman"/>
          <w:b/>
        </w:rPr>
        <w:t xml:space="preserve">по включению в </w:t>
      </w:r>
      <w:r w:rsidR="00011C03">
        <w:rPr>
          <w:rFonts w:ascii="Times New Roman" w:hAnsi="Times New Roman"/>
          <w:b/>
        </w:rPr>
        <w:t>документации о закупках, контракты положений об обеспечении гарантийных обязательств</w:t>
      </w:r>
    </w:p>
    <w:p w:rsidR="00011C03" w:rsidRDefault="00011C03" w:rsidP="00E82C1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11C03" w:rsidRPr="00E82C14" w:rsidRDefault="00011C03" w:rsidP="00E82C1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26B9" w:rsidRPr="00E82C14" w:rsidRDefault="0021249A" w:rsidP="00E82C14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E82C14">
        <w:rPr>
          <w:rFonts w:ascii="Times New Roman" w:hAnsi="Times New Roman"/>
          <w:b/>
          <w:lang w:eastAsia="ru-RU"/>
        </w:rPr>
        <w:t>Используемые т</w:t>
      </w:r>
      <w:r w:rsidR="003826B9" w:rsidRPr="00E82C14">
        <w:rPr>
          <w:rFonts w:ascii="Times New Roman" w:hAnsi="Times New Roman"/>
          <w:b/>
          <w:lang w:eastAsia="ru-RU"/>
        </w:rPr>
        <w:t>ермины и определения:</w:t>
      </w:r>
    </w:p>
    <w:p w:rsidR="003826B9" w:rsidRPr="00E82C14" w:rsidRDefault="003826B9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2C14">
        <w:rPr>
          <w:rFonts w:ascii="Times New Roman" w:hAnsi="Times New Roman"/>
          <w:b/>
          <w:lang w:eastAsia="ru-RU"/>
        </w:rPr>
        <w:t xml:space="preserve">Закон о контрактной системе - </w:t>
      </w:r>
      <w:r w:rsidRPr="00E82C14">
        <w:rPr>
          <w:rFonts w:ascii="Times New Roman" w:hAnsi="Times New Roman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AD344E" w:rsidRPr="00E82C14" w:rsidRDefault="00AD344E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82C14">
        <w:rPr>
          <w:rFonts w:ascii="Times New Roman" w:hAnsi="Times New Roman"/>
          <w:b/>
        </w:rPr>
        <w:t>Государственный заказчик</w:t>
      </w:r>
      <w:r w:rsidRPr="00E82C14">
        <w:rPr>
          <w:rFonts w:ascii="Times New Roman" w:hAnsi="Times New Roman"/>
        </w:rPr>
        <w:t xml:space="preserve"> - государственный орган (в том числе орган государственной власти),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закупки.</w:t>
      </w:r>
      <w:proofErr w:type="gramEnd"/>
    </w:p>
    <w:p w:rsidR="00AD344E" w:rsidRPr="00E82C14" w:rsidRDefault="00AD344E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2C14">
        <w:rPr>
          <w:rFonts w:ascii="Times New Roman" w:hAnsi="Times New Roman"/>
          <w:b/>
        </w:rPr>
        <w:t>Муниципальный заказчик</w:t>
      </w:r>
      <w:r w:rsidRPr="00E82C14">
        <w:rPr>
          <w:rFonts w:ascii="Times New Roman" w:hAnsi="Times New Roman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AD344E" w:rsidRPr="00E82C14" w:rsidRDefault="00AD344E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2C14">
        <w:rPr>
          <w:rFonts w:ascii="Times New Roman" w:hAnsi="Times New Roman"/>
          <w:b/>
        </w:rPr>
        <w:t>Заказчик</w:t>
      </w:r>
      <w:r w:rsidRPr="00E82C14">
        <w:rPr>
          <w:rFonts w:ascii="Times New Roman" w:hAnsi="Times New Roman"/>
        </w:rPr>
        <w:t xml:space="preserve"> -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закупки.</w:t>
      </w:r>
    </w:p>
    <w:p w:rsidR="00AD344E" w:rsidRPr="00E82C14" w:rsidRDefault="00AD344E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2C14">
        <w:rPr>
          <w:rFonts w:ascii="Times New Roman" w:hAnsi="Times New Roman"/>
          <w:b/>
        </w:rPr>
        <w:t>Государственный контракт, муниципальный контракт</w:t>
      </w:r>
      <w:r w:rsidRPr="00E82C14">
        <w:rPr>
          <w:rFonts w:ascii="Times New Roman" w:hAnsi="Times New Roman"/>
        </w:rPr>
        <w:t xml:space="preserve"> - договор, заключенный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CA2EEB" w:rsidRPr="00E82C14" w:rsidRDefault="00AD344E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82C14">
        <w:rPr>
          <w:rFonts w:ascii="Times New Roman" w:hAnsi="Times New Roman"/>
          <w:b/>
        </w:rPr>
        <w:t xml:space="preserve">Контракт </w:t>
      </w:r>
      <w:r w:rsidRPr="00E82C14">
        <w:rPr>
          <w:rFonts w:ascii="Times New Roman" w:hAnsi="Times New Roman"/>
        </w:rPr>
        <w:t xml:space="preserve">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</w:t>
      </w:r>
      <w:r w:rsidR="00C928B3" w:rsidRPr="00E82C14">
        <w:rPr>
          <w:rFonts w:ascii="Times New Roman" w:hAnsi="Times New Roman"/>
        </w:rPr>
        <w:t xml:space="preserve">заключенный </w:t>
      </w:r>
      <w:r w:rsidRPr="00E82C14">
        <w:rPr>
          <w:rFonts w:ascii="Times New Roman" w:hAnsi="Times New Roman"/>
        </w:rPr>
        <w:t>от имени Российской Федерации, субъекта Российской Федерации или муниципального образования, а также бюджетным учреждением, государственным, муниципальным унитарными предприятиями,</w:t>
      </w:r>
      <w:r w:rsidR="00C928B3" w:rsidRPr="00E82C14">
        <w:rPr>
          <w:rFonts w:ascii="Times New Roman" w:hAnsi="Times New Roman"/>
        </w:rPr>
        <w:t xml:space="preserve"> либо иным юридическим лицом в соответствии с частями 1, 2.1, 4 и 5 статьи 15 Закона о контрактной системе.</w:t>
      </w:r>
      <w:proofErr w:type="gramEnd"/>
    </w:p>
    <w:p w:rsidR="00AD4A5F" w:rsidRPr="00E82C14" w:rsidRDefault="00011C03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11C03">
        <w:rPr>
          <w:rFonts w:ascii="Times New Roman" w:hAnsi="Times New Roman"/>
          <w:b/>
        </w:rPr>
        <w:t>Гарантийные обязательства</w:t>
      </w:r>
      <w:r>
        <w:rPr>
          <w:rFonts w:ascii="Times New Roman" w:hAnsi="Times New Roman"/>
        </w:rPr>
        <w:t xml:space="preserve"> - </w:t>
      </w:r>
      <w:r w:rsidR="001F66F3">
        <w:rPr>
          <w:rFonts w:ascii="Times New Roman" w:hAnsi="Times New Roman"/>
        </w:rPr>
        <w:t>т</w:t>
      </w:r>
      <w:r w:rsidR="001F66F3" w:rsidRPr="001F66F3">
        <w:rPr>
          <w:rFonts w:ascii="Times New Roman" w:hAnsi="Times New Roman"/>
        </w:rPr>
        <w:t>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</w:t>
      </w:r>
      <w:r w:rsidR="001F66F3">
        <w:rPr>
          <w:rFonts w:ascii="Times New Roman" w:hAnsi="Times New Roman"/>
        </w:rPr>
        <w:t>.</w:t>
      </w:r>
    </w:p>
    <w:p w:rsidR="00856E84" w:rsidRPr="00E82C14" w:rsidRDefault="00856E84" w:rsidP="00E82C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93A35" w:rsidRPr="00E82C14" w:rsidRDefault="00793A35" w:rsidP="00E82C14">
      <w:pPr>
        <w:spacing w:after="0" w:line="240" w:lineRule="auto"/>
        <w:rPr>
          <w:rFonts w:ascii="Times New Roman" w:hAnsi="Times New Roman"/>
          <w:lang w:eastAsia="ru-RU"/>
        </w:rPr>
      </w:pPr>
      <w:r w:rsidRPr="00E82C14">
        <w:rPr>
          <w:rFonts w:ascii="Times New Roman" w:hAnsi="Times New Roman"/>
          <w:lang w:eastAsia="ru-RU"/>
        </w:rPr>
        <w:br w:type="page"/>
      </w:r>
    </w:p>
    <w:p w:rsidR="00AD344E" w:rsidRPr="00E82C14" w:rsidRDefault="00AD344E" w:rsidP="00E82C1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2C14">
        <w:rPr>
          <w:rFonts w:ascii="Times New Roman" w:hAnsi="Times New Roman"/>
          <w:b/>
          <w:lang w:eastAsia="ru-RU"/>
        </w:rPr>
        <w:lastRenderedPageBreak/>
        <w:t xml:space="preserve">1. </w:t>
      </w:r>
      <w:r w:rsidR="003B225E">
        <w:rPr>
          <w:rFonts w:ascii="Times New Roman" w:hAnsi="Times New Roman"/>
          <w:b/>
          <w:lang w:eastAsia="ru-RU"/>
        </w:rPr>
        <w:t>Обеспечение гарантийных обязательств (нормативно – правовое обоснование)</w:t>
      </w:r>
    </w:p>
    <w:p w:rsidR="00DE2821" w:rsidRPr="00E82C14" w:rsidRDefault="00DE2821" w:rsidP="00E82C1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1101"/>
        <w:gridCol w:w="9922"/>
        <w:gridCol w:w="4111"/>
      </w:tblGrid>
      <w:tr w:rsidR="00C928B3" w:rsidRPr="00E82C14" w:rsidTr="003B225E">
        <w:tc>
          <w:tcPr>
            <w:tcW w:w="1101" w:type="dxa"/>
            <w:shd w:val="clear" w:color="auto" w:fill="auto"/>
          </w:tcPr>
          <w:p w:rsidR="00C928B3" w:rsidRPr="00E82C14" w:rsidRDefault="00C928B3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C1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E82C14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82C14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9922" w:type="dxa"/>
            <w:shd w:val="clear" w:color="auto" w:fill="auto"/>
          </w:tcPr>
          <w:p w:rsidR="00C928B3" w:rsidRPr="00E82C14" w:rsidRDefault="00C928B3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C14">
              <w:rPr>
                <w:rFonts w:ascii="Times New Roman" w:hAnsi="Times New Roman"/>
                <w:b/>
                <w:lang w:eastAsia="ru-RU"/>
              </w:rPr>
              <w:t xml:space="preserve">Содержание </w:t>
            </w:r>
          </w:p>
        </w:tc>
        <w:tc>
          <w:tcPr>
            <w:tcW w:w="4111" w:type="dxa"/>
            <w:shd w:val="clear" w:color="auto" w:fill="auto"/>
          </w:tcPr>
          <w:p w:rsidR="00C928B3" w:rsidRPr="00E82C14" w:rsidRDefault="00C928B3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C14">
              <w:rPr>
                <w:rFonts w:ascii="Times New Roman" w:hAnsi="Times New Roman"/>
                <w:b/>
                <w:lang w:eastAsia="ru-RU"/>
              </w:rPr>
              <w:t>Нормативно правовое обоснование</w:t>
            </w:r>
          </w:p>
        </w:tc>
      </w:tr>
      <w:tr w:rsidR="002A3A3E" w:rsidRPr="00E82C14" w:rsidTr="003B225E">
        <w:tc>
          <w:tcPr>
            <w:tcW w:w="1101" w:type="dxa"/>
            <w:shd w:val="clear" w:color="auto" w:fill="auto"/>
          </w:tcPr>
          <w:p w:rsidR="002A3A3E" w:rsidRPr="003B225E" w:rsidRDefault="002A3A3E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225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2A3A3E" w:rsidRPr="003B225E" w:rsidRDefault="002A3A3E" w:rsidP="002A3A3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3B225E">
              <w:rPr>
                <w:rFonts w:ascii="Times New Roman" w:hAnsi="Times New Roman"/>
                <w:lang w:eastAsia="ru-RU"/>
              </w:rPr>
              <w:t xml:space="preserve">При установлении требований к предоставлению гарантийных обязательств (требований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товара) </w:t>
            </w:r>
            <w:r w:rsidRPr="003B225E">
              <w:rPr>
                <w:rFonts w:ascii="Times New Roman" w:hAnsi="Times New Roman"/>
                <w:b/>
                <w:lang w:eastAsia="ru-RU"/>
              </w:rPr>
              <w:t>в извещении об осуществлении закупки, документации о закупке, проекте контракта должно быть установлено требование обеспечения исполнения контракта, обеспечения гарантийных обязательств.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A3A3E" w:rsidRPr="002A3A3E" w:rsidRDefault="002A3A3E" w:rsidP="00E82C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225E">
              <w:rPr>
                <w:rFonts w:ascii="Times New Roman" w:hAnsi="Times New Roman"/>
                <w:lang w:eastAsia="ru-RU"/>
              </w:rPr>
              <w:t>часть 1 статьи 96 Закона о контрактной системе</w:t>
            </w:r>
          </w:p>
        </w:tc>
      </w:tr>
      <w:tr w:rsidR="00C928B3" w:rsidRPr="00E82C14" w:rsidTr="003B225E">
        <w:tc>
          <w:tcPr>
            <w:tcW w:w="1101" w:type="dxa"/>
            <w:shd w:val="clear" w:color="auto" w:fill="auto"/>
          </w:tcPr>
          <w:p w:rsidR="00C928B3" w:rsidRPr="00E82C14" w:rsidRDefault="002A3A3E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C928B3" w:rsidRPr="00E82C14" w:rsidRDefault="00B479BF" w:rsidP="003D30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 xml:space="preserve">При установлении в документации о закупке, извещении о закупке </w:t>
            </w:r>
            <w:r w:rsidRPr="00B479BF">
              <w:rPr>
                <w:rFonts w:ascii="Times New Roman" w:hAnsi="Times New Roman"/>
                <w:lang w:eastAsia="ru-RU"/>
              </w:rPr>
              <w:t xml:space="preserve">требований </w:t>
            </w:r>
            <w:r>
              <w:rPr>
                <w:rFonts w:ascii="Times New Roman" w:hAnsi="Times New Roman"/>
                <w:lang w:eastAsia="ru-RU"/>
              </w:rPr>
              <w:t>к предоставлению гарантийных обязательств (т</w:t>
            </w:r>
            <w:r w:rsidRPr="00B479BF">
              <w:rPr>
                <w:rFonts w:ascii="Times New Roman" w:hAnsi="Times New Roman"/>
                <w:lang w:eastAsia="ru-RU"/>
              </w:rPr>
              <w:t>ребовани</w:t>
            </w:r>
            <w:r>
              <w:rPr>
                <w:rFonts w:ascii="Times New Roman" w:hAnsi="Times New Roman"/>
                <w:lang w:eastAsia="ru-RU"/>
              </w:rPr>
              <w:t>й</w:t>
            </w:r>
            <w:r w:rsidRPr="00B479BF">
              <w:rPr>
                <w:rFonts w:ascii="Times New Roman" w:hAnsi="Times New Roman"/>
                <w:lang w:eastAsia="ru-RU"/>
              </w:rPr>
              <w:t xml:space="preserve"> к гарантии качества товара, работы, услуги, а также требовани</w:t>
            </w:r>
            <w:r>
              <w:rPr>
                <w:rFonts w:ascii="Times New Roman" w:hAnsi="Times New Roman"/>
                <w:lang w:eastAsia="ru-RU"/>
              </w:rPr>
              <w:t>й</w:t>
            </w:r>
            <w:r w:rsidRPr="00B479BF">
              <w:rPr>
                <w:rFonts w:ascii="Times New Roman" w:hAnsi="Times New Roman"/>
                <w:lang w:eastAsia="ru-RU"/>
              </w:rPr>
              <w:t xml:space="preserve"> к гарантийному сроку и (или) объему предоставления гарантий их качества, к гарантийному обслуживанию товара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 w:rsidRPr="003D30EE">
              <w:rPr>
                <w:rFonts w:ascii="Times New Roman" w:hAnsi="Times New Roman"/>
                <w:b/>
                <w:lang w:eastAsia="ru-RU"/>
              </w:rPr>
              <w:t>в</w:t>
            </w:r>
            <w:r w:rsidR="003D30EE" w:rsidRPr="003D30EE">
              <w:rPr>
                <w:rFonts w:ascii="Times New Roman" w:hAnsi="Times New Roman"/>
                <w:b/>
                <w:lang w:eastAsia="ru-RU"/>
              </w:rPr>
              <w:t xml:space="preserve"> контракт включается обязательное условие о порядке и сроке предоставления поставщиком (подрядчиком, исполнителем) обеспечения гарантийных обязательств.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928B3" w:rsidRPr="00E82C14" w:rsidRDefault="002A3A3E" w:rsidP="003D30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D30EE">
              <w:rPr>
                <w:rFonts w:ascii="Times New Roman" w:hAnsi="Times New Roman"/>
                <w:lang w:eastAsia="ru-RU"/>
              </w:rPr>
              <w:t xml:space="preserve">ункт 1 части 13 </w:t>
            </w:r>
            <w:r w:rsidR="00C928B3" w:rsidRPr="00E82C14">
              <w:rPr>
                <w:rFonts w:ascii="Times New Roman" w:hAnsi="Times New Roman"/>
                <w:lang w:eastAsia="ru-RU"/>
              </w:rPr>
              <w:t>статьи 34 Закона о контрактной системе</w:t>
            </w:r>
          </w:p>
        </w:tc>
      </w:tr>
      <w:tr w:rsidR="00C928B3" w:rsidRPr="00E82C14" w:rsidTr="003B225E">
        <w:tc>
          <w:tcPr>
            <w:tcW w:w="1101" w:type="dxa"/>
            <w:shd w:val="clear" w:color="auto" w:fill="auto"/>
          </w:tcPr>
          <w:p w:rsidR="00C928B3" w:rsidRPr="00E82C14" w:rsidRDefault="002A3A3E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C928B3" w:rsidRPr="00E82C14" w:rsidRDefault="00DD2320" w:rsidP="00E066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2320">
              <w:rPr>
                <w:rFonts w:ascii="Times New Roman" w:hAnsi="Times New Roman"/>
                <w:lang w:eastAsia="ru-RU"/>
              </w:rPr>
              <w:t xml:space="preserve">В случае установления заказчиком требования об обеспечении гарантийных обязательств </w:t>
            </w:r>
            <w:r w:rsidRPr="00E066DF">
              <w:rPr>
                <w:rFonts w:ascii="Times New Roman" w:hAnsi="Times New Roman"/>
                <w:b/>
                <w:lang w:eastAsia="ru-RU"/>
              </w:rPr>
              <w:t>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</w:t>
            </w:r>
            <w:r w:rsidRPr="00DD2320">
              <w:rPr>
                <w:rFonts w:ascii="Times New Roman" w:hAnsi="Times New Roman"/>
                <w:lang w:eastAsia="ru-RU"/>
              </w:rPr>
              <w:t xml:space="preserve"> с </w:t>
            </w:r>
            <w:r w:rsidR="00E066DF">
              <w:rPr>
                <w:rFonts w:ascii="Times New Roman" w:hAnsi="Times New Roman"/>
                <w:lang w:eastAsia="ru-RU"/>
              </w:rPr>
              <w:t>Законом о контрактной системе</w:t>
            </w:r>
            <w:r w:rsidRPr="00DD2320">
              <w:rPr>
                <w:rFonts w:ascii="Times New Roman" w:hAnsi="Times New Roman"/>
                <w:lang w:eastAsia="ru-RU"/>
              </w:rPr>
              <w:t xml:space="preserve"> в порядке и в сроки, которые установлены контрактом.</w:t>
            </w:r>
          </w:p>
        </w:tc>
        <w:tc>
          <w:tcPr>
            <w:tcW w:w="4111" w:type="dxa"/>
            <w:shd w:val="clear" w:color="auto" w:fill="auto"/>
          </w:tcPr>
          <w:p w:rsidR="00C928B3" w:rsidRPr="00E82C14" w:rsidRDefault="005D5E1F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2C14">
              <w:rPr>
                <w:rFonts w:ascii="Times New Roman" w:hAnsi="Times New Roman"/>
                <w:lang w:eastAsia="ru-RU"/>
              </w:rPr>
              <w:t xml:space="preserve">часть </w:t>
            </w:r>
            <w:r w:rsidR="00E066DF">
              <w:rPr>
                <w:rFonts w:ascii="Times New Roman" w:hAnsi="Times New Roman"/>
                <w:lang w:eastAsia="ru-RU"/>
              </w:rPr>
              <w:t>7.1 статьи 94 Закона о контрактной системе</w:t>
            </w:r>
          </w:p>
        </w:tc>
      </w:tr>
      <w:tr w:rsidR="008E1587" w:rsidRPr="00E82C14" w:rsidTr="003B225E">
        <w:tc>
          <w:tcPr>
            <w:tcW w:w="1101" w:type="dxa"/>
            <w:shd w:val="clear" w:color="auto" w:fill="auto"/>
          </w:tcPr>
          <w:p w:rsidR="008E1587" w:rsidRDefault="008E1587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8E1587" w:rsidRDefault="008E1587" w:rsidP="008E15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8E1587">
              <w:rPr>
                <w:rFonts w:ascii="Times New Roman" w:hAnsi="Times New Roman"/>
                <w:lang w:eastAsia="ru-RU"/>
              </w:rPr>
              <w:t xml:space="preserve">арантийные обязательства </w:t>
            </w:r>
            <w:r>
              <w:rPr>
                <w:rFonts w:ascii="Times New Roman" w:hAnsi="Times New Roman"/>
                <w:lang w:eastAsia="ru-RU"/>
              </w:rPr>
              <w:t>обеспечиваются</w:t>
            </w:r>
            <w:r w:rsidRPr="008E1587">
              <w:rPr>
                <w:rFonts w:ascii="Times New Roman" w:hAnsi="Times New Roman"/>
                <w:lang w:eastAsia="ru-RU"/>
              </w:rPr>
              <w:t xml:space="preserve"> предоставлением банковской гарантии, выданной банком и соответствующей требованиям статьи 45 </w:t>
            </w:r>
            <w:r>
              <w:rPr>
                <w:rFonts w:ascii="Times New Roman" w:hAnsi="Times New Roman"/>
                <w:lang w:eastAsia="ru-RU"/>
              </w:rPr>
              <w:t>Закона о контрактной системе</w:t>
            </w:r>
            <w:r w:rsidRPr="008E1587">
              <w:rPr>
                <w:rFonts w:ascii="Times New Roman" w:hAnsi="Times New Roman"/>
                <w:lang w:eastAsia="ru-RU"/>
              </w:rPr>
      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      </w:r>
          </w:p>
          <w:p w:rsidR="008E1587" w:rsidRDefault="008E1587" w:rsidP="008E15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E1587">
              <w:rPr>
                <w:rFonts w:ascii="Times New Roman" w:hAnsi="Times New Roman"/>
                <w:lang w:eastAsia="ru-RU"/>
              </w:rPr>
              <w:t xml:space="preserve">Способ обеспечения гарантийных обязательств, срок действия банковской гарантии определяются в соответствии с требованиями </w:t>
            </w:r>
            <w:r>
              <w:rPr>
                <w:rFonts w:ascii="Times New Roman" w:hAnsi="Times New Roman"/>
                <w:lang w:eastAsia="ru-RU"/>
              </w:rPr>
              <w:t>Закона о контрактной системе</w:t>
            </w:r>
            <w:r w:rsidRPr="008E1587">
              <w:rPr>
                <w:rFonts w:ascii="Times New Roman" w:hAnsi="Times New Roman"/>
                <w:lang w:eastAsia="ru-RU"/>
              </w:rPr>
              <w:t xml:space="preserve"> участником закупки, с которым заключается контракт, самостоятельно. </w:t>
            </w:r>
          </w:p>
          <w:p w:rsidR="008E1587" w:rsidRPr="00DD2320" w:rsidRDefault="008E1587" w:rsidP="008E15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E1587">
              <w:rPr>
                <w:rFonts w:ascii="Times New Roman" w:hAnsi="Times New Roman"/>
                <w:lang w:eastAsia="ru-RU"/>
              </w:rPr>
              <w:t>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месяц.</w:t>
            </w:r>
          </w:p>
        </w:tc>
        <w:tc>
          <w:tcPr>
            <w:tcW w:w="4111" w:type="dxa"/>
            <w:shd w:val="clear" w:color="auto" w:fill="auto"/>
          </w:tcPr>
          <w:p w:rsidR="008E1587" w:rsidRPr="00E82C14" w:rsidRDefault="008E1587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 3 статьи 96 Закона о контрактной системе</w:t>
            </w:r>
          </w:p>
        </w:tc>
      </w:tr>
      <w:tr w:rsidR="00C64350" w:rsidRPr="00E82C14" w:rsidTr="003B225E">
        <w:tc>
          <w:tcPr>
            <w:tcW w:w="1101" w:type="dxa"/>
            <w:shd w:val="clear" w:color="auto" w:fill="auto"/>
          </w:tcPr>
          <w:p w:rsidR="00C64350" w:rsidRDefault="00C64350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C64350" w:rsidRDefault="00C64350" w:rsidP="008E15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>Размер обеспечения гарантийных обязательств не может превышать десять процентов начальной (максимальной) цены контракта.</w:t>
            </w:r>
          </w:p>
        </w:tc>
        <w:tc>
          <w:tcPr>
            <w:tcW w:w="4111" w:type="dxa"/>
            <w:shd w:val="clear" w:color="auto" w:fill="auto"/>
          </w:tcPr>
          <w:p w:rsidR="00C64350" w:rsidRDefault="00C64350" w:rsidP="00C643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 6 статьи 96 Закона о контрактной системе</w:t>
            </w:r>
          </w:p>
        </w:tc>
      </w:tr>
      <w:tr w:rsidR="008E1587" w:rsidRPr="00E82C14" w:rsidTr="003B225E">
        <w:tc>
          <w:tcPr>
            <w:tcW w:w="1101" w:type="dxa"/>
            <w:shd w:val="clear" w:color="auto" w:fill="auto"/>
          </w:tcPr>
          <w:p w:rsidR="008E1587" w:rsidRDefault="00C64350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8E1587" w:rsidRDefault="008E1587" w:rsidP="008E158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E1587">
              <w:rPr>
                <w:rFonts w:ascii="Times New Roman" w:hAnsi="Times New Roman"/>
                <w:lang w:eastAsia="ru-RU"/>
              </w:rPr>
              <w:t xml:space="preserve">Поставщик (подрядчик, исполнитель) вправе изменить способ обеспечения гарантийных обязательств и (или) предоставить заказчику взамен ранее </w:t>
            </w:r>
            <w:proofErr w:type="gramStart"/>
            <w:r w:rsidRPr="008E1587">
              <w:rPr>
                <w:rFonts w:ascii="Times New Roman" w:hAnsi="Times New Roman"/>
                <w:lang w:eastAsia="ru-RU"/>
              </w:rPr>
              <w:t>предоставленного</w:t>
            </w:r>
            <w:proofErr w:type="gramEnd"/>
            <w:r w:rsidRPr="008E1587">
              <w:rPr>
                <w:rFonts w:ascii="Times New Roman" w:hAnsi="Times New Roman"/>
                <w:lang w:eastAsia="ru-RU"/>
              </w:rPr>
              <w:t xml:space="preserve"> обеспечения гарантийных обязательств новое обеспечение гарантийных обязательств.</w:t>
            </w:r>
          </w:p>
        </w:tc>
        <w:tc>
          <w:tcPr>
            <w:tcW w:w="4111" w:type="dxa"/>
            <w:shd w:val="clear" w:color="auto" w:fill="auto"/>
          </w:tcPr>
          <w:p w:rsidR="008E1587" w:rsidRDefault="008E1587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 7 статьи 96 Закона о контрактной системе</w:t>
            </w:r>
          </w:p>
        </w:tc>
      </w:tr>
      <w:tr w:rsidR="00C64350" w:rsidRPr="00E82C14" w:rsidTr="003B225E">
        <w:tc>
          <w:tcPr>
            <w:tcW w:w="1101" w:type="dxa"/>
            <w:shd w:val="clear" w:color="auto" w:fill="auto"/>
          </w:tcPr>
          <w:p w:rsidR="00C64350" w:rsidRDefault="00C64350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C64350" w:rsidRP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C64350">
              <w:rPr>
                <w:rFonts w:ascii="Times New Roman" w:hAnsi="Times New Roman"/>
                <w:lang w:eastAsia="ru-RU"/>
              </w:rPr>
              <w:t>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64350">
              <w:rPr>
                <w:rFonts w:ascii="Times New Roman" w:hAnsi="Times New Roman"/>
                <w:lang w:eastAsia="ru-RU"/>
              </w:rPr>
              <w:t xml:space="preserve"> гарантийных обязательств не </w:t>
            </w:r>
            <w:r>
              <w:rPr>
                <w:rFonts w:ascii="Times New Roman" w:hAnsi="Times New Roman"/>
                <w:lang w:eastAsia="ru-RU"/>
              </w:rPr>
              <w:t>требуется</w:t>
            </w:r>
            <w:r w:rsidRPr="00C64350">
              <w:rPr>
                <w:rFonts w:ascii="Times New Roman" w:hAnsi="Times New Roman"/>
                <w:lang w:eastAsia="ru-RU"/>
              </w:rPr>
              <w:t xml:space="preserve"> в случа</w:t>
            </w:r>
            <w:r>
              <w:rPr>
                <w:rFonts w:ascii="Times New Roman" w:hAnsi="Times New Roman"/>
                <w:lang w:eastAsia="ru-RU"/>
              </w:rPr>
              <w:t>ях</w:t>
            </w:r>
            <w:r w:rsidRPr="00C64350">
              <w:rPr>
                <w:rFonts w:ascii="Times New Roman" w:hAnsi="Times New Roman"/>
                <w:lang w:eastAsia="ru-RU"/>
              </w:rPr>
              <w:t>:</w:t>
            </w:r>
          </w:p>
          <w:p w:rsidR="00C64350" w:rsidRP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>1) заключения контракта с участником закупки, который является казенным учреждением;</w:t>
            </w:r>
          </w:p>
          <w:p w:rsidR="00C64350" w:rsidRP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>2) осуществления закупки услуги по предоставлению кредита;</w:t>
            </w:r>
          </w:p>
          <w:p w:rsidR="00C64350" w:rsidRPr="008E1587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</w:tc>
        <w:tc>
          <w:tcPr>
            <w:tcW w:w="4111" w:type="dxa"/>
            <w:shd w:val="clear" w:color="auto" w:fill="auto"/>
          </w:tcPr>
          <w:p w:rsidR="00C64350" w:rsidRDefault="00A404B4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="00C64350">
              <w:rPr>
                <w:rFonts w:ascii="Times New Roman" w:hAnsi="Times New Roman"/>
                <w:lang w:eastAsia="ru-RU"/>
              </w:rPr>
              <w:t>асть 8 статьи 96 Закона о контрактной системе</w:t>
            </w:r>
          </w:p>
        </w:tc>
      </w:tr>
      <w:tr w:rsidR="00C64350" w:rsidRPr="00E82C14" w:rsidTr="003B225E">
        <w:tc>
          <w:tcPr>
            <w:tcW w:w="1101" w:type="dxa"/>
            <w:shd w:val="clear" w:color="auto" w:fill="auto"/>
          </w:tcPr>
          <w:p w:rsidR="00C64350" w:rsidRDefault="00C64350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64350">
              <w:rPr>
                <w:rFonts w:ascii="Times New Roman" w:hAnsi="Times New Roman"/>
                <w:lang w:eastAsia="ru-RU"/>
              </w:rPr>
              <w:t xml:space="preserve"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</w:t>
            </w:r>
            <w:r>
              <w:rPr>
                <w:rFonts w:ascii="Times New Roman" w:hAnsi="Times New Roman"/>
                <w:lang w:eastAsia="ru-RU"/>
              </w:rPr>
              <w:t xml:space="preserve">Закона о контрактной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системе</w:t>
            </w:r>
            <w:r w:rsidRPr="00C64350">
              <w:rPr>
                <w:rFonts w:ascii="Times New Roman" w:hAnsi="Times New Roman"/>
                <w:lang w:eastAsia="ru-RU"/>
              </w:rPr>
              <w:t xml:space="preserve">, освобождается от </w:t>
            </w:r>
            <w:r>
              <w:rPr>
                <w:rFonts w:ascii="Times New Roman" w:hAnsi="Times New Roman"/>
                <w:lang w:eastAsia="ru-RU"/>
              </w:rPr>
              <w:t>предоставления</w:t>
            </w:r>
            <w:r w:rsidRPr="00C64350">
              <w:rPr>
                <w:rFonts w:ascii="Times New Roman" w:hAnsi="Times New Roman"/>
                <w:lang w:eastAsia="ru-RU"/>
              </w:rPr>
              <w:t xml:space="preserve"> обеспечени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64350">
              <w:rPr>
                <w:rFonts w:ascii="Times New Roman" w:hAnsi="Times New Roman"/>
                <w:lang w:eastAsia="ru-RU"/>
              </w:rPr>
              <w:t xml:space="preserve">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</w:t>
            </w:r>
            <w:proofErr w:type="gramEnd"/>
            <w:r w:rsidRPr="00C64350">
              <w:rPr>
                <w:rFonts w:ascii="Times New Roman" w:hAnsi="Times New Roman"/>
                <w:lang w:eastAsia="ru-RU"/>
              </w:rPr>
              <w:t xml:space="preserve"> на участие в закупке трех контрактов, исполненных без применения к такому участнику неустоек (штрафов, пеней). </w:t>
            </w:r>
          </w:p>
          <w:p w:rsid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 xml:space="preserve">Такая информация представляется участником закупки до заключения контракта в случаях, установленных </w:t>
            </w:r>
            <w:r>
              <w:rPr>
                <w:rFonts w:ascii="Times New Roman" w:hAnsi="Times New Roman"/>
                <w:lang w:eastAsia="ru-RU"/>
              </w:rPr>
              <w:t>Законом о контрактной системе</w:t>
            </w:r>
            <w:r w:rsidRPr="00C64350">
              <w:rPr>
                <w:rFonts w:ascii="Times New Roman" w:hAnsi="Times New Roman"/>
                <w:lang w:eastAsia="ru-RU"/>
              </w:rPr>
              <w:t xml:space="preserve"> для предоставления обеспечения исполнения контракта. </w:t>
            </w:r>
          </w:p>
          <w:p w:rsidR="00C64350" w:rsidRDefault="00C64350" w:rsidP="00C643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 xml:space="preserve">При этом сумма цен таких контрактов должна составлять не </w:t>
            </w:r>
            <w:proofErr w:type="gramStart"/>
            <w:r w:rsidRPr="00C64350">
              <w:rPr>
                <w:rFonts w:ascii="Times New Roman" w:hAnsi="Times New Roman"/>
                <w:lang w:eastAsia="ru-RU"/>
              </w:rPr>
              <w:t>менее начальной</w:t>
            </w:r>
            <w:proofErr w:type="gramEnd"/>
            <w:r w:rsidRPr="00C64350">
              <w:rPr>
                <w:rFonts w:ascii="Times New Roman" w:hAnsi="Times New Roman"/>
                <w:lang w:eastAsia="ru-RU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4111" w:type="dxa"/>
            <w:shd w:val="clear" w:color="auto" w:fill="auto"/>
          </w:tcPr>
          <w:p w:rsidR="00C64350" w:rsidRDefault="00A404B4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</w:t>
            </w:r>
            <w:r w:rsidR="00C64350">
              <w:rPr>
                <w:rFonts w:ascii="Times New Roman" w:hAnsi="Times New Roman"/>
                <w:lang w:eastAsia="ru-RU"/>
              </w:rPr>
              <w:t>асть 8.1. статьи 96 Закона о контрактной системе</w:t>
            </w:r>
          </w:p>
        </w:tc>
      </w:tr>
      <w:tr w:rsidR="00C64350" w:rsidRPr="00E82C14" w:rsidTr="003B225E">
        <w:tc>
          <w:tcPr>
            <w:tcW w:w="1101" w:type="dxa"/>
            <w:shd w:val="clear" w:color="auto" w:fill="auto"/>
          </w:tcPr>
          <w:p w:rsidR="00C64350" w:rsidRDefault="00C64350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9922" w:type="dxa"/>
            <w:shd w:val="clear" w:color="auto" w:fill="auto"/>
          </w:tcPr>
          <w:p w:rsidR="00C64350" w:rsidRPr="00C64350" w:rsidRDefault="00C64350" w:rsidP="003B22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4350">
              <w:rPr>
                <w:rFonts w:ascii="Times New Roman" w:hAnsi="Times New Roman"/>
                <w:lang w:eastAsia="ru-RU"/>
              </w:rPr>
              <w:t xml:space="preserve">До 31 декабря 2020 года при осуществлении закупок в соответствии со статьей 30 </w:t>
            </w:r>
            <w:r>
              <w:rPr>
                <w:rFonts w:ascii="Times New Roman" w:hAnsi="Times New Roman"/>
                <w:lang w:eastAsia="ru-RU"/>
              </w:rPr>
              <w:t>Закона о контрактной системе</w:t>
            </w:r>
            <w:r w:rsidRPr="00C64350">
              <w:rPr>
                <w:rFonts w:ascii="Times New Roman" w:hAnsi="Times New Roman"/>
                <w:lang w:eastAsia="ru-RU"/>
              </w:rPr>
              <w:t xml:space="preserve"> заказчик вправе не устанавливать требование обеспечения гарантийных обязательств в извещении об осуществлении закупки и (или) в проекте контракта, за исключением случая, если контрактом предусмотрена выплата аванса.</w:t>
            </w:r>
          </w:p>
        </w:tc>
        <w:tc>
          <w:tcPr>
            <w:tcW w:w="4111" w:type="dxa"/>
            <w:shd w:val="clear" w:color="auto" w:fill="auto"/>
          </w:tcPr>
          <w:p w:rsidR="00C64350" w:rsidRDefault="00A404B4" w:rsidP="00E066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="003B225E">
              <w:rPr>
                <w:rFonts w:ascii="Times New Roman" w:hAnsi="Times New Roman"/>
                <w:lang w:eastAsia="ru-RU"/>
              </w:rPr>
              <w:t>асть 64 статьи 112 Закона о контрактной системе</w:t>
            </w:r>
          </w:p>
        </w:tc>
      </w:tr>
    </w:tbl>
    <w:p w:rsidR="00173D33" w:rsidRPr="00E82C14" w:rsidRDefault="00173D33" w:rsidP="00E82C14">
      <w:pPr>
        <w:spacing w:after="0" w:line="240" w:lineRule="auto"/>
        <w:rPr>
          <w:rFonts w:ascii="Times New Roman" w:hAnsi="Times New Roman"/>
          <w:lang w:eastAsia="ru-RU"/>
        </w:rPr>
      </w:pPr>
      <w:r w:rsidRPr="00E82C14">
        <w:rPr>
          <w:rFonts w:ascii="Times New Roman" w:hAnsi="Times New Roman"/>
          <w:lang w:eastAsia="ru-RU"/>
        </w:rPr>
        <w:br w:type="page"/>
      </w:r>
    </w:p>
    <w:p w:rsidR="00AD344E" w:rsidRPr="00E82C14" w:rsidRDefault="00AD344E" w:rsidP="00E82C14">
      <w:pPr>
        <w:spacing w:after="0" w:line="240" w:lineRule="auto"/>
        <w:rPr>
          <w:rFonts w:ascii="Times New Roman" w:hAnsi="Times New Roman"/>
          <w:lang w:eastAsia="ru-RU"/>
        </w:rPr>
      </w:pPr>
    </w:p>
    <w:p w:rsidR="00CA2EEB" w:rsidRPr="00E82C14" w:rsidRDefault="008101BE" w:rsidP="00E82C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011C41" w:rsidRPr="00E82C14">
        <w:rPr>
          <w:rFonts w:ascii="Times New Roman" w:hAnsi="Times New Roman"/>
          <w:b/>
        </w:rPr>
        <w:t>. Рекомендуемые положения</w:t>
      </w:r>
      <w:r w:rsidRPr="008101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 обеспечении гарантийных обязательств</w:t>
      </w:r>
      <w:r w:rsidR="009F5DA3" w:rsidRPr="00E82C14">
        <w:rPr>
          <w:rFonts w:ascii="Times New Roman" w:hAnsi="Times New Roman"/>
          <w:b/>
        </w:rPr>
        <w:t>,</w:t>
      </w:r>
      <w:r w:rsidR="00011C41" w:rsidRPr="00E82C14">
        <w:rPr>
          <w:rFonts w:ascii="Times New Roman" w:hAnsi="Times New Roman"/>
          <w:b/>
        </w:rPr>
        <w:t xml:space="preserve"> включаемые </w:t>
      </w:r>
      <w:r>
        <w:rPr>
          <w:rFonts w:ascii="Times New Roman" w:hAnsi="Times New Roman"/>
          <w:b/>
        </w:rPr>
        <w:t xml:space="preserve">в документации о закупках, контракты </w:t>
      </w:r>
    </w:p>
    <w:p w:rsidR="00011C41" w:rsidRPr="00E82C14" w:rsidRDefault="00011C41" w:rsidP="00E82C1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2022"/>
        <w:gridCol w:w="8009"/>
        <w:gridCol w:w="5245"/>
      </w:tblGrid>
      <w:tr w:rsidR="00AC34ED" w:rsidRPr="00CA7356" w:rsidTr="00AC34ED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C34ED" w:rsidRPr="00CA7356" w:rsidRDefault="00AC34ED" w:rsidP="00E82C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CA735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CA7356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C34ED" w:rsidRPr="00CA7356" w:rsidRDefault="00AC34ED" w:rsidP="00AC34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</w:rPr>
              <w:t>Рекомендуемые положения, включаемые в документации о закупках, проекты контрактов</w:t>
            </w:r>
          </w:p>
        </w:tc>
      </w:tr>
      <w:tr w:rsidR="00F62D8D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62D8D" w:rsidRPr="00CA7356" w:rsidRDefault="00901945" w:rsidP="001056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t>1</w:t>
            </w:r>
            <w:r w:rsidR="00F62D8D" w:rsidRPr="00CA7356">
              <w:rPr>
                <w:rFonts w:ascii="Times New Roman" w:hAnsi="Times New Roman"/>
                <w:b/>
                <w:lang w:eastAsia="ru-RU"/>
              </w:rPr>
              <w:t>.</w:t>
            </w:r>
            <w:r w:rsidRPr="00CA7356">
              <w:rPr>
                <w:rFonts w:ascii="Times New Roman" w:hAnsi="Times New Roman"/>
                <w:b/>
                <w:lang w:eastAsia="ru-RU"/>
              </w:rPr>
              <w:t>1.</w:t>
            </w:r>
            <w:r w:rsidR="00F62D8D" w:rsidRPr="00CA735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8101BE" w:rsidRPr="00CA7356">
              <w:rPr>
                <w:rFonts w:ascii="Times New Roman" w:hAnsi="Times New Roman"/>
                <w:b/>
                <w:lang w:eastAsia="ru-RU"/>
              </w:rPr>
              <w:t>В документации и извещении п</w:t>
            </w:r>
            <w:r w:rsidR="00F62D8D" w:rsidRPr="00CA7356">
              <w:rPr>
                <w:rFonts w:ascii="Times New Roman" w:hAnsi="Times New Roman"/>
                <w:b/>
                <w:lang w:eastAsia="ru-RU"/>
              </w:rPr>
              <w:t>ри осуществлении закупки без установления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  <w:r w:rsidR="008101BE" w:rsidRPr="00CA735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10569B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b/>
                <w:lang w:eastAsia="ru-RU"/>
              </w:rPr>
              <w:t>1. Обеспечение гарантийных обязательств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1.1. Размер обеспечения гарантийных обязательств составляет ___________ рублей (___ % от начальной (максимальной) цены контракта).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1.2.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счет заказчика. 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Theme="minorHAnsi" w:hAnsi="Times New Roman"/>
              </w:rPr>
              <w:t>Срок действия банковской гарантии определяется в соответствии с требованиями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закона.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1.3. Способ обеспечения гарантийных обязательств определяется участником закупки самостоятельно.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1.4.</w:t>
            </w:r>
            <w:r w:rsidRPr="00CA7356">
              <w:rPr>
                <w:rFonts w:ascii="Times New Roman" w:eastAsiaTheme="minorHAnsi" w:hAnsi="Times New Roman"/>
              </w:rPr>
              <w:t xml:space="preserve"> Перечисление денежных сре</w:t>
            </w:r>
            <w:proofErr w:type="gramStart"/>
            <w:r w:rsidRPr="00CA7356">
              <w:rPr>
                <w:rFonts w:ascii="Times New Roman" w:eastAsiaTheme="minorHAnsi" w:hAnsi="Times New Roman"/>
              </w:rPr>
              <w:t>дств в к</w:t>
            </w:r>
            <w:proofErr w:type="gramEnd"/>
            <w:r w:rsidRPr="00CA7356">
              <w:rPr>
                <w:rFonts w:ascii="Times New Roman" w:eastAsiaTheme="minorHAnsi" w:hAnsi="Times New Roman"/>
              </w:rPr>
              <w:t>ачестве обеспечения гарантийных обязательства осуществляется на счёт заказчика по следующим реквизитам: _____________________________________________________________________________________________________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Theme="minorHAnsi" w:hAnsi="Times New Roman"/>
              </w:rPr>
              <w:t>_______________________________________________________________________________________________________________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</w:p>
          <w:p w:rsidR="0010569B" w:rsidRPr="00CA7356" w:rsidRDefault="0010569B" w:rsidP="0010569B">
            <w:pPr>
              <w:shd w:val="clear" w:color="auto" w:fill="FFFFFF" w:themeFill="background1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1.5. В случае</w:t>
            </w:r>
            <w:proofErr w:type="gramStart"/>
            <w:r w:rsidRPr="00CA7356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 если участником закупки, с которым заключается контракт, является казенное учреждение, требование об обеспечении гарантийных обязательств к такому участнику не применяется.</w:t>
            </w:r>
          </w:p>
          <w:p w:rsidR="0010569B" w:rsidRPr="00CA7356" w:rsidRDefault="0010569B" w:rsidP="008101B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1.6. В ходе исполнения контракта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1.7. Оформление документа о приемке (за исключением отдельного этапа исполнения контракта) поставленного товара, (выполненных работ, оказанных услуг) осуществляется после предоставления поставщиком (подрядчиком, исполнителем) обеспечения гарантийных обязательств в порядке и в сроки, которые установлены контрактом.</w:t>
            </w:r>
          </w:p>
        </w:tc>
      </w:tr>
      <w:tr w:rsidR="0010569B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t>1.2. В проекте контракта при осуществлении закупки без установления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941B76" w:rsidRPr="00CA7356" w:rsidTr="00941B7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6" w:rsidRDefault="00941B76" w:rsidP="00941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Обеспечение гарантийных обязательств:</w:t>
            </w:r>
          </w:p>
          <w:p w:rsidR="00941B76" w:rsidRDefault="00941B76" w:rsidP="00941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Размер обеспечения гарантийных обязательств составляет </w:t>
            </w:r>
            <w:r>
              <w:rPr>
                <w:rFonts w:ascii="Times New Roman" w:hAnsi="Times New Roman"/>
                <w:color w:val="000000"/>
              </w:rPr>
              <w:t>____________________________ рублей</w:t>
            </w:r>
            <w:r>
              <w:rPr>
                <w:rFonts w:ascii="Times New Roman" w:hAnsi="Times New Roman"/>
              </w:rPr>
              <w:t>.</w:t>
            </w:r>
          </w:p>
          <w:p w:rsidR="00941B76" w:rsidRDefault="00941B76" w:rsidP="00941B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счет заказчика. Способ обеспечения гарантийных обязательств определяется </w:t>
            </w:r>
            <w:r>
              <w:rPr>
                <w:rFonts w:ascii="Times New Roman" w:eastAsia="Times New Roman" w:hAnsi="Times New Roman"/>
                <w:lang w:eastAsia="ru-RU"/>
              </w:rPr>
              <w:t>поставщиком (подрядчиком, исполнителем)</w:t>
            </w:r>
            <w:r>
              <w:rPr>
                <w:rFonts w:ascii="Times New Roman" w:hAnsi="Times New Roman"/>
              </w:rPr>
              <w:t>.</w:t>
            </w:r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Срок действия банковской гарантии определяется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ascii="Times New Roman" w:eastAsia="Times New Roman" w:hAnsi="Times New Roman"/>
                <w:lang w:eastAsia="ru-RU"/>
              </w:rPr>
              <w:t>поставщиком (подрядчиком, исполнителем)</w:t>
            </w:r>
            <w:r>
              <w:rPr>
                <w:rFonts w:ascii="Times New Roman" w:hAnsi="Times New Roman"/>
              </w:rPr>
              <w:t xml:space="preserve"> самостоятельно. </w:t>
            </w:r>
            <w:proofErr w:type="gramStart"/>
            <w:r>
              <w:rPr>
                <w:rFonts w:ascii="Times New Roman" w:hAnsi="Times New Roman"/>
              </w:rPr>
              <w:t xml:space="preserve">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</w:t>
            </w:r>
            <w:r>
              <w:rPr>
                <w:rFonts w:ascii="Times New Roman" w:hAnsi="Times New Roman"/>
              </w:rPr>
              <w:lastRenderedPageBreak/>
              <w:t>работ, услуг для обеспечения государственных и муниципальных нужд».</w:t>
            </w:r>
            <w:proofErr w:type="gramEnd"/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Перечисление денежных сре</w:t>
            </w:r>
            <w:proofErr w:type="gramStart"/>
            <w:r>
              <w:rPr>
                <w:rFonts w:ascii="Times New Roman" w:hAnsi="Times New Roman"/>
              </w:rPr>
              <w:t>дств в к</w:t>
            </w:r>
            <w:proofErr w:type="gramEnd"/>
            <w:r>
              <w:rPr>
                <w:rFonts w:ascii="Times New Roman" w:hAnsi="Times New Roman"/>
              </w:rPr>
              <w:t>ачестве обеспечения гарантийных обязательства осуществляется на счёт заказчика по следующим реквизитам:</w:t>
            </w:r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</w:t>
            </w:r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Назначение платежа: «Обеспечение гарантийных обязательств контракта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36"/>
                <w:lang w:eastAsia="ru-RU"/>
              </w:rPr>
              <w:t>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 </w:t>
            </w:r>
            <w:r>
              <w:rPr>
                <w:rFonts w:ascii="Times New Roman" w:hAnsi="Times New Roman"/>
                <w:color w:val="000000"/>
              </w:rPr>
              <w:t xml:space="preserve">В случае если способом обеспечение гарантийных обязательств, является внесение денежных средств на счет Заказчика, срок возврата Заказчиком </w:t>
            </w:r>
            <w:r>
              <w:rPr>
                <w:rFonts w:ascii="Times New Roman" w:eastAsia="Times New Roman" w:hAnsi="Times New Roman"/>
                <w:lang w:eastAsia="ru-RU"/>
              </w:rPr>
              <w:t>поставщику (подрядчику, исполнителю)</w:t>
            </w:r>
            <w:r>
              <w:rPr>
                <w:rFonts w:ascii="Times New Roman" w:hAnsi="Times New Roman"/>
                <w:color w:val="000000"/>
              </w:rPr>
              <w:t xml:space="preserve"> денежных средств, внесенных в качестве обеспечение гарантийных обязательств, при условии отсутствия взысканий на внесенные денежные средства, составляет ___________ рабочих дней </w:t>
            </w:r>
            <w:proofErr w:type="gramStart"/>
            <w:r>
              <w:rPr>
                <w:rFonts w:ascii="Times New Roman" w:hAnsi="Times New Roman"/>
                <w:color w:val="000000"/>
              </w:rPr>
              <w:t>с даты окончания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срока гарантийных обязательств, предусмотренных контрактом.</w:t>
            </w:r>
          </w:p>
          <w:p w:rsidR="00941B76" w:rsidRDefault="00941B76" w:rsidP="00941B76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1.6.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В ходе исполнения контракта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 в порядке и случаях, предусмотренных </w:t>
            </w:r>
            <w:r>
              <w:rPr>
                <w:rFonts w:ascii="Times New Roman" w:hAnsi="Times New Roman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  <w:p w:rsidR="00941B76" w:rsidRPr="00CA7356" w:rsidRDefault="00941B76" w:rsidP="00941B76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1.7. </w:t>
            </w:r>
            <w:r>
              <w:rPr>
                <w:rFonts w:ascii="Times New Roman" w:eastAsia="Times New Roman" w:hAnsi="Times New Roman"/>
                <w:lang w:eastAsia="ru-RU"/>
              </w:rPr>
              <w:t>Оформление документа о приемке (за исключением отдельного этапа исполнения контракта) поставленного товара, (выполненных работ, оказанных услуг) осуществляется после предоставления поставщиком (подрядчиком, исполнителем) обеспечения гарантийных обязательств в порядке и в сроки, которые установлены контрактом.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6" w:rsidRDefault="00941B76" w:rsidP="00941B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Примечание:</w:t>
            </w:r>
          </w:p>
          <w:p w:rsidR="00941B76" w:rsidRDefault="00941B76" w:rsidP="00941B76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В случае, если участником закупки, с которым заключается контракт, является казенное учреждение, требование об обеспечении гарантийных обязательств к такому участнику не применяется.</w:t>
            </w:r>
          </w:p>
          <w:p w:rsidR="00941B76" w:rsidRDefault="00941B76" w:rsidP="00941B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941B76" w:rsidRDefault="00941B76" w:rsidP="00941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ru-RU"/>
              </w:rPr>
              <w:t>В контракте необходимо отразить информацию, что участник освобожден от предоставления обеспечения гарантийных обязательств.</w:t>
            </w:r>
          </w:p>
          <w:p w:rsidR="00941B76" w:rsidRPr="00CA7356" w:rsidRDefault="00941B76" w:rsidP="00CA7356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63284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284" w:rsidRPr="00CA7356" w:rsidRDefault="0010569B" w:rsidP="001056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lastRenderedPageBreak/>
              <w:t>2</w:t>
            </w:r>
            <w:r w:rsidR="00763284" w:rsidRPr="00CA7356">
              <w:rPr>
                <w:rFonts w:ascii="Times New Roman" w:hAnsi="Times New Roman"/>
                <w:b/>
                <w:lang w:eastAsia="ru-RU"/>
              </w:rPr>
              <w:t>.</w:t>
            </w:r>
            <w:r w:rsidRPr="00CA7356">
              <w:rPr>
                <w:rFonts w:ascii="Times New Roman" w:hAnsi="Times New Roman"/>
                <w:b/>
                <w:lang w:eastAsia="ru-RU"/>
              </w:rPr>
              <w:t>1</w:t>
            </w:r>
            <w:r w:rsidR="00763284" w:rsidRPr="00CA7356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CA7356">
              <w:rPr>
                <w:rFonts w:ascii="Times New Roman" w:hAnsi="Times New Roman"/>
                <w:b/>
                <w:lang w:eastAsia="ru-RU"/>
              </w:rPr>
              <w:t xml:space="preserve">В документации и извещении </w:t>
            </w:r>
            <w:proofErr w:type="gramStart"/>
            <w:r w:rsidRPr="00CA7356">
              <w:rPr>
                <w:rFonts w:ascii="Times New Roman" w:hAnsi="Times New Roman"/>
                <w:b/>
                <w:lang w:eastAsia="ru-RU"/>
              </w:rPr>
              <w:t>п</w:t>
            </w:r>
            <w:r w:rsidR="00763284" w:rsidRPr="00CA7356">
              <w:rPr>
                <w:rFonts w:ascii="Times New Roman" w:hAnsi="Times New Roman"/>
                <w:b/>
                <w:lang w:eastAsia="ru-RU"/>
              </w:rPr>
              <w:t>ри осуществлении закупки с установлением в извещении об осуществлении закупки ограничения в отношении</w:t>
            </w:r>
            <w:proofErr w:type="gramEnd"/>
            <w:r w:rsidR="00763284" w:rsidRPr="00CA7356">
              <w:rPr>
                <w:rFonts w:ascii="Times New Roman" w:hAnsi="Times New Roman"/>
                <w:b/>
                <w:lang w:eastAsia="ru-RU"/>
              </w:rPr>
              <w:t xml:space="preserve">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10569B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b/>
                <w:lang w:eastAsia="ru-RU"/>
              </w:rPr>
              <w:t>1. Обеспечение гарантийных обязательств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1.1. Размер обеспечения гарантийных обязательств составляет ___________ рублей (___ % от начальной (максимальной) цены контракта).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1.2.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счет заказчика. 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Theme="minorHAnsi" w:hAnsi="Times New Roman"/>
              </w:rPr>
              <w:t>Срок действия банковской гарантии определяется в соответствии с требованиями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закона.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1.3. Способ обеспечения гарантийных обязательств определяется участником закупки самостоятельно.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1.4.</w:t>
            </w:r>
            <w:r w:rsidRPr="00CA7356">
              <w:rPr>
                <w:rFonts w:ascii="Times New Roman" w:eastAsiaTheme="minorHAnsi" w:hAnsi="Times New Roman"/>
              </w:rPr>
              <w:t xml:space="preserve"> Перечисление денежных сре</w:t>
            </w:r>
            <w:proofErr w:type="gramStart"/>
            <w:r w:rsidRPr="00CA7356">
              <w:rPr>
                <w:rFonts w:ascii="Times New Roman" w:eastAsiaTheme="minorHAnsi" w:hAnsi="Times New Roman"/>
              </w:rPr>
              <w:t>дств в к</w:t>
            </w:r>
            <w:proofErr w:type="gramEnd"/>
            <w:r w:rsidRPr="00CA7356">
              <w:rPr>
                <w:rFonts w:ascii="Times New Roman" w:eastAsiaTheme="minorHAnsi" w:hAnsi="Times New Roman"/>
              </w:rPr>
              <w:t>ачестве обеспечения гарантийных обязательства осуществляется на счёт заказчика по следующим реквизитам: _____________________________________________________________________________________________________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  <w:r w:rsidRPr="00CA7356">
              <w:rPr>
                <w:rFonts w:ascii="Times New Roman" w:eastAsiaTheme="minorHAnsi" w:hAnsi="Times New Roman"/>
              </w:rPr>
              <w:t>_______________________________________________________________________________________________________________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</w:rPr>
            </w:pP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1.5. В случае</w:t>
            </w:r>
            <w:proofErr w:type="gramStart"/>
            <w:r w:rsidRPr="00CA7356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 если участником закупки, с которым заключается контракт, является казенное учреждение, требование об обеспечении гарантийных обязательств к такому участнику не применяется.</w:t>
            </w:r>
          </w:p>
          <w:p w:rsidR="0010569B" w:rsidRPr="00CA7356" w:rsidRDefault="0010569B" w:rsidP="0010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1.6. </w:t>
            </w:r>
            <w:proofErr w:type="gramStart"/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Участник закупки, с которым заключается контракт, освобождается от предоставления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неустоек (штрафов, пеней). </w:t>
            </w:r>
            <w:proofErr w:type="gramEnd"/>
          </w:p>
          <w:p w:rsidR="0010569B" w:rsidRPr="00CA7356" w:rsidRDefault="0010569B" w:rsidP="0010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Такая информация представляется участником закупки до заключения контракта в случаях, установленных Федеральным законом для предоставления обеспечения исполнения контракта. </w:t>
            </w:r>
          </w:p>
          <w:p w:rsidR="0010569B" w:rsidRPr="00CA7356" w:rsidRDefault="0010569B" w:rsidP="0010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При этом сумма цен таких контрактов должна составлять не </w:t>
            </w:r>
            <w:proofErr w:type="gramStart"/>
            <w:r w:rsidRPr="00CA7356">
              <w:rPr>
                <w:rFonts w:ascii="Times New Roman" w:eastAsia="Times New Roman" w:hAnsi="Times New Roman"/>
                <w:lang w:eastAsia="ru-RU"/>
              </w:rPr>
              <w:t>менее начальной</w:t>
            </w:r>
            <w:proofErr w:type="gramEnd"/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  <w:p w:rsidR="0010569B" w:rsidRPr="00CA7356" w:rsidRDefault="0010569B" w:rsidP="0010569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1.7. В ходе исполнения контракта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  <w:p w:rsidR="0010569B" w:rsidRPr="00CA7356" w:rsidRDefault="0010569B" w:rsidP="0010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>1.8. Оформление документа о приемке (за исключением отдельного этапа исполнения контракта) поставленного товара, (выполненных работ, оказанных услуг) осуществляется после предоставления поставщиком (подрядчиком, исполнителем) обеспечения гарантийных обязательств в порядке и в сроки, которые установлены контрактом.</w:t>
            </w:r>
          </w:p>
          <w:p w:rsidR="0050118C" w:rsidRPr="00CA7356" w:rsidRDefault="0050118C" w:rsidP="001056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C34ED" w:rsidRPr="00CA7356" w:rsidTr="00AC34E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34ED" w:rsidRPr="00CA7356" w:rsidRDefault="00AC34ED" w:rsidP="00AC34E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lastRenderedPageBreak/>
              <w:t xml:space="preserve">2.2. </w:t>
            </w:r>
            <w:proofErr w:type="gramStart"/>
            <w:r w:rsidRPr="00CA7356">
              <w:rPr>
                <w:rFonts w:ascii="Times New Roman" w:hAnsi="Times New Roman"/>
                <w:b/>
                <w:lang w:eastAsia="ru-RU"/>
              </w:rPr>
              <w:t>В проекте контракта при осуществлении закупки с установлением в извещении об осуществлении</w:t>
            </w:r>
            <w:proofErr w:type="gramEnd"/>
            <w:r w:rsidRPr="00CA7356">
              <w:rPr>
                <w:rFonts w:ascii="Times New Roman" w:hAnsi="Times New Roman"/>
                <w:b/>
                <w:lang w:eastAsia="ru-RU"/>
              </w:rPr>
              <w:t xml:space="preserve"> закупки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AC34ED" w:rsidRPr="00CA7356" w:rsidTr="00AC34ED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4ED" w:rsidRPr="00CA7356" w:rsidRDefault="00AC34ED" w:rsidP="00AC34ED">
            <w:pPr>
              <w:spacing w:after="0" w:line="240" w:lineRule="auto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>1. Обеспечение гарантийных обязательств:</w:t>
            </w:r>
          </w:p>
          <w:p w:rsidR="00AC34ED" w:rsidRPr="00CA7356" w:rsidRDefault="00AC34ED" w:rsidP="00AC34ED">
            <w:pPr>
              <w:spacing w:after="0" w:line="240" w:lineRule="auto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 xml:space="preserve">1.1. Размер обеспечения гарантийных обязательств составляет </w:t>
            </w:r>
            <w:r w:rsidRPr="00CA7356">
              <w:rPr>
                <w:rFonts w:ascii="Times New Roman" w:hAnsi="Times New Roman"/>
                <w:color w:val="000000"/>
              </w:rPr>
              <w:t>____________________________ рублей</w:t>
            </w:r>
            <w:r w:rsidRPr="00CA7356">
              <w:rPr>
                <w:rFonts w:ascii="Times New Roman" w:hAnsi="Times New Roman"/>
              </w:rPr>
              <w:t>.</w:t>
            </w:r>
          </w:p>
          <w:p w:rsidR="00AC34ED" w:rsidRPr="00CA7356" w:rsidRDefault="00AC34ED" w:rsidP="00AC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 xml:space="preserve">1.2.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счет заказчика. Способ обеспечения гарантийных обязательств определяется 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t>поставщиком (подрядчиком, исполнителем)</w:t>
            </w:r>
            <w:r w:rsidRPr="00CA7356">
              <w:rPr>
                <w:rFonts w:ascii="Times New Roman" w:hAnsi="Times New Roman"/>
              </w:rPr>
              <w:t>.</w:t>
            </w:r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 xml:space="preserve">1.3. Срок действия банковской гарантии определяется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t>поставщиком (подрядчиком, исполнителем)</w:t>
            </w:r>
            <w:r w:rsidRPr="00CA7356">
              <w:rPr>
                <w:rFonts w:ascii="Times New Roman" w:hAnsi="Times New Roman"/>
              </w:rPr>
              <w:t xml:space="preserve"> самостоятельно. </w:t>
            </w:r>
            <w:proofErr w:type="gramStart"/>
            <w:r w:rsidRPr="00CA7356">
              <w:rPr>
                <w:rFonts w:ascii="Times New Roman" w:hAnsi="Times New Roman"/>
              </w:rPr>
              <w:t>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>1.4. Перечисление денежных сре</w:t>
            </w:r>
            <w:proofErr w:type="gramStart"/>
            <w:r w:rsidRPr="00CA7356">
              <w:rPr>
                <w:rFonts w:ascii="Times New Roman" w:hAnsi="Times New Roman"/>
              </w:rPr>
              <w:t>дств в к</w:t>
            </w:r>
            <w:proofErr w:type="gramEnd"/>
            <w:r w:rsidRPr="00CA7356">
              <w:rPr>
                <w:rFonts w:ascii="Times New Roman" w:hAnsi="Times New Roman"/>
              </w:rPr>
              <w:t>ачестве обеспечения гарантийных обязательства осуществляется на счёт заказчика по следующим реквизитам:</w:t>
            </w:r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</w:rPr>
              <w:t>__________________________________________________________________________________________________________________________</w:t>
            </w:r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 w:rsidRPr="00CA7356">
              <w:rPr>
                <w:rFonts w:ascii="Times New Roman" w:hAnsi="Times New Roman"/>
                <w:lang w:eastAsia="ru-RU"/>
              </w:rPr>
              <w:t xml:space="preserve">Назначение платежа: «Обеспечение гарантийных обязательств контракта </w:t>
            </w:r>
            <w:proofErr w:type="gramStart"/>
            <w:r w:rsidRPr="00CA7356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CA7356">
              <w:rPr>
                <w:rFonts w:ascii="Times New Roman" w:hAnsi="Times New Roman"/>
                <w:lang w:eastAsia="ru-RU"/>
              </w:rPr>
              <w:t xml:space="preserve"> </w:t>
            </w:r>
            <w:r w:rsidRPr="00CA7356">
              <w:rPr>
                <w:rFonts w:ascii="Times New Roman" w:hAnsi="Times New Roman"/>
                <w:kern w:val="36"/>
                <w:lang w:eastAsia="ru-RU"/>
              </w:rPr>
              <w:t>_______________________________________________________</w:t>
            </w:r>
            <w:r w:rsidRPr="00CA7356">
              <w:rPr>
                <w:rFonts w:ascii="Times New Roman" w:hAnsi="Times New Roman"/>
                <w:lang w:eastAsia="ru-RU"/>
              </w:rPr>
              <w:t>».</w:t>
            </w:r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</w:rPr>
            </w:pPr>
            <w:r w:rsidRPr="00CA7356">
              <w:rPr>
                <w:rFonts w:ascii="Times New Roman" w:hAnsi="Times New Roman"/>
                <w:lang w:eastAsia="ru-RU"/>
              </w:rPr>
              <w:t>1.</w:t>
            </w:r>
            <w:r w:rsidR="00CA7356">
              <w:rPr>
                <w:rFonts w:ascii="Times New Roman" w:hAnsi="Times New Roman"/>
                <w:lang w:eastAsia="ru-RU"/>
              </w:rPr>
              <w:t>5</w:t>
            </w:r>
            <w:r w:rsidRPr="00CA7356">
              <w:rPr>
                <w:rFonts w:ascii="Times New Roman" w:hAnsi="Times New Roman"/>
                <w:lang w:eastAsia="ru-RU"/>
              </w:rPr>
              <w:t xml:space="preserve">. </w:t>
            </w:r>
            <w:r w:rsidRPr="00CA7356">
              <w:rPr>
                <w:rFonts w:ascii="Times New Roman" w:hAnsi="Times New Roman"/>
                <w:color w:val="000000"/>
              </w:rPr>
              <w:t xml:space="preserve">В случае если способом обеспечение гарантийных обязательств, является внесение денежных средств на счет Заказчика, срок возврата Заказчиком 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t>поставщику (подрядчику, исполнителю)</w:t>
            </w:r>
            <w:r w:rsidRPr="00CA7356">
              <w:rPr>
                <w:rFonts w:ascii="Times New Roman" w:hAnsi="Times New Roman"/>
                <w:color w:val="000000"/>
              </w:rPr>
              <w:t xml:space="preserve"> денежных средств, внесенных в качестве обеспечение гарантийных обязательств, при условии отсутствия взысканий на внесенные денежные средства, составляет ___________ рабочих дней </w:t>
            </w:r>
            <w:proofErr w:type="gramStart"/>
            <w:r w:rsidRPr="00CA7356">
              <w:rPr>
                <w:rFonts w:ascii="Times New Roman" w:hAnsi="Times New Roman"/>
                <w:color w:val="000000"/>
              </w:rPr>
              <w:t>с даты окончания</w:t>
            </w:r>
            <w:proofErr w:type="gramEnd"/>
            <w:r w:rsidRPr="00CA7356">
              <w:rPr>
                <w:rFonts w:ascii="Times New Roman" w:hAnsi="Times New Roman"/>
                <w:color w:val="000000"/>
              </w:rPr>
              <w:t xml:space="preserve"> срока гарантийных обязательств, предусмотренных контрактом.</w:t>
            </w:r>
          </w:p>
          <w:p w:rsidR="00AC34ED" w:rsidRPr="00CA7356" w:rsidRDefault="00AC34ED" w:rsidP="00AC34ED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 w:rsidRPr="00CA7356">
              <w:rPr>
                <w:rFonts w:ascii="Times New Roman" w:hAnsi="Times New Roman"/>
              </w:rPr>
              <w:t>1.</w:t>
            </w:r>
            <w:r w:rsidR="00CA7356">
              <w:rPr>
                <w:rFonts w:ascii="Times New Roman" w:hAnsi="Times New Roman"/>
              </w:rPr>
              <w:t>6</w:t>
            </w:r>
            <w:r w:rsidRPr="00CA7356">
              <w:rPr>
                <w:rFonts w:ascii="Times New Roman" w:hAnsi="Times New Roman"/>
              </w:rPr>
              <w:t xml:space="preserve">. </w:t>
            </w:r>
            <w:proofErr w:type="gramStart"/>
            <w:r w:rsidRPr="00CA7356">
              <w:rPr>
                <w:rFonts w:ascii="Times New Roman" w:hAnsi="Times New Roman"/>
                <w:lang w:eastAsia="ru-RU"/>
              </w:rPr>
              <w:t>В ходе исполнения контракта поставщик</w:t>
            </w:r>
            <w:r w:rsidR="00CA7356">
              <w:rPr>
                <w:rFonts w:ascii="Times New Roman" w:hAnsi="Times New Roman"/>
                <w:lang w:eastAsia="ru-RU"/>
              </w:rPr>
              <w:t xml:space="preserve"> (подрядчик, исполнитель)</w:t>
            </w:r>
            <w:r w:rsidRPr="00CA7356">
              <w:rPr>
                <w:rFonts w:ascii="Times New Roman" w:hAnsi="Times New Roman"/>
                <w:lang w:eastAsia="ru-RU"/>
              </w:rPr>
              <w:t xml:space="preserve"> вправе изменить способ обеспечения гарантийных обязательств и (или) предоставить заказчику взамен ранее предоставленного </w:t>
            </w:r>
            <w:r w:rsidRPr="00CA7356">
              <w:rPr>
                <w:rFonts w:ascii="Times New Roman" w:hAnsi="Times New Roman"/>
                <w:lang w:eastAsia="ru-RU"/>
              </w:rPr>
              <w:lastRenderedPageBreak/>
              <w:t xml:space="preserve">обеспечения гарантийных обязательств новое обеспечение гарантийных обязательств в порядке и случаях, предусмотренных </w:t>
            </w:r>
            <w:r w:rsidRPr="00CA7356">
              <w:rPr>
                <w:rFonts w:ascii="Times New Roman" w:hAnsi="Times New Roman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  <w:p w:rsidR="00AC34ED" w:rsidRPr="00CA7356" w:rsidRDefault="00AC34ED" w:rsidP="00CA735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</w:rPr>
              <w:t>1.</w:t>
            </w:r>
            <w:r w:rsidR="00CA7356">
              <w:rPr>
                <w:rFonts w:ascii="Times New Roman" w:hAnsi="Times New Roman"/>
              </w:rPr>
              <w:t>7</w:t>
            </w:r>
            <w:r w:rsidRPr="00CA7356">
              <w:rPr>
                <w:rFonts w:ascii="Times New Roman" w:hAnsi="Times New Roman"/>
              </w:rPr>
              <w:t xml:space="preserve">. 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t>Оформление документа о приемке (за исключением отдельного этапа исполнения контракта) поставленного товара, (выполненных работ, оказанных услуг) осуществляется после предоставления поставщиком (подрядчиком, исполнителем) обеспечения гарантийных обязательств в порядке и в сроки, которые установлены контрактом.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4ED" w:rsidRDefault="00540167" w:rsidP="00AC34E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A7356">
              <w:rPr>
                <w:rFonts w:ascii="Times New Roman" w:hAnsi="Times New Roman"/>
                <w:b/>
                <w:lang w:eastAsia="ru-RU"/>
              </w:rPr>
              <w:lastRenderedPageBreak/>
              <w:t>Примечание:</w:t>
            </w:r>
          </w:p>
          <w:p w:rsidR="00941B76" w:rsidRDefault="00941B76" w:rsidP="00941B76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lang w:eastAsia="ru-RU"/>
              </w:rPr>
              <w:t>В случае, если участником закупки, с которым заключается контракт, является казенное учреждение, требование об обеспечении гарантийных обязательств к такому участнику не применяется.</w:t>
            </w:r>
          </w:p>
          <w:p w:rsidR="00941B76" w:rsidRPr="00CA7356" w:rsidRDefault="00941B76" w:rsidP="00AC34E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540167" w:rsidRPr="00CA7356" w:rsidRDefault="00941B76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1B76">
              <w:rPr>
                <w:rFonts w:ascii="Times New Roman" w:hAnsi="Times New Roman"/>
                <w:lang w:eastAsia="ru-RU"/>
              </w:rPr>
              <w:t xml:space="preserve">2) </w:t>
            </w:r>
            <w:r w:rsidR="00540167" w:rsidRPr="00941B76">
              <w:rPr>
                <w:rFonts w:ascii="Times New Roman" w:hAnsi="Times New Roman"/>
                <w:lang w:eastAsia="ru-RU"/>
              </w:rPr>
              <w:t>В случае, если</w:t>
            </w:r>
            <w:r w:rsidR="00540167" w:rsidRPr="00CA735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540167" w:rsidRPr="00CA7356">
              <w:rPr>
                <w:rFonts w:ascii="Times New Roman" w:eastAsia="Times New Roman" w:hAnsi="Times New Roman"/>
                <w:lang w:eastAsia="ru-RU"/>
              </w:rPr>
              <w:t xml:space="preserve">участником закупки, с которым заключается </w:t>
            </w:r>
            <w:proofErr w:type="gramStart"/>
            <w:r w:rsidR="00540167" w:rsidRPr="00CA7356">
              <w:rPr>
                <w:rFonts w:ascii="Times New Roman" w:eastAsia="Times New Roman" w:hAnsi="Times New Roman"/>
                <w:lang w:eastAsia="ru-RU"/>
              </w:rPr>
              <w:t>контракт</w:t>
            </w:r>
            <w:proofErr w:type="gramEnd"/>
            <w:r w:rsidR="00540167" w:rsidRPr="00CA7356">
              <w:rPr>
                <w:rFonts w:ascii="Times New Roman" w:eastAsia="Times New Roman" w:hAnsi="Times New Roman"/>
                <w:lang w:eastAsia="ru-RU"/>
              </w:rPr>
              <w:t xml:space="preserve"> предоставлена информация, содержащейся в реестре контрактов, заключенных заказчиками, и подтверждающая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пеней), он освобождается от предоставления гарантийных обязательств. </w:t>
            </w: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Информация представляется участником закупки </w:t>
            </w:r>
            <w:r w:rsidRPr="00CA7356">
              <w:rPr>
                <w:rFonts w:ascii="Times New Roman" w:eastAsia="Times New Roman" w:hAnsi="Times New Roman"/>
                <w:b/>
                <w:lang w:eastAsia="ru-RU"/>
              </w:rPr>
              <w:t>до заключения контракта</w:t>
            </w: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 в случаях, установленных Федеральным законом для предоставления обеспечения исполнения контракта. </w:t>
            </w: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При этом сумма цен таких контрактов должна составлять не </w:t>
            </w:r>
            <w:proofErr w:type="gramStart"/>
            <w:r w:rsidRPr="00CA7356">
              <w:rPr>
                <w:rFonts w:ascii="Times New Roman" w:eastAsia="Times New Roman" w:hAnsi="Times New Roman"/>
                <w:lang w:eastAsia="ru-RU"/>
              </w:rPr>
              <w:t>менее начальной</w:t>
            </w:r>
            <w:proofErr w:type="gramEnd"/>
            <w:r w:rsidRPr="00CA7356">
              <w:rPr>
                <w:rFonts w:ascii="Times New Roman" w:eastAsia="Times New Roman" w:hAnsi="Times New Roman"/>
                <w:lang w:eastAsia="ru-RU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356">
              <w:rPr>
                <w:rFonts w:ascii="Times New Roman" w:eastAsia="Times New Roman" w:hAnsi="Times New Roman"/>
                <w:b/>
                <w:lang w:eastAsia="ru-RU"/>
              </w:rPr>
              <w:t xml:space="preserve">В контракте необходимо отразить информацию, что участник освобожден от предоставления </w:t>
            </w:r>
            <w:r w:rsidRPr="00CA735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обеспечения гарантийных обязательств.</w:t>
            </w: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40167" w:rsidRPr="00CA7356" w:rsidRDefault="00540167" w:rsidP="0054016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043D1" w:rsidRPr="00E42C3D" w:rsidRDefault="00F043D1" w:rsidP="00E82C14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F043D1" w:rsidRPr="00E42C3D" w:rsidSect="0050118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B4" w:rsidRDefault="006B4FB4" w:rsidP="008101BE">
      <w:pPr>
        <w:spacing w:after="0" w:line="240" w:lineRule="auto"/>
      </w:pPr>
      <w:r>
        <w:separator/>
      </w:r>
    </w:p>
  </w:endnote>
  <w:endnote w:type="continuationSeparator" w:id="0">
    <w:p w:rsidR="006B4FB4" w:rsidRDefault="006B4FB4" w:rsidP="0081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B4" w:rsidRDefault="006B4FB4" w:rsidP="008101BE">
      <w:pPr>
        <w:spacing w:after="0" w:line="240" w:lineRule="auto"/>
      </w:pPr>
      <w:r>
        <w:separator/>
      </w:r>
    </w:p>
  </w:footnote>
  <w:footnote w:type="continuationSeparator" w:id="0">
    <w:p w:rsidR="006B4FB4" w:rsidRDefault="006B4FB4" w:rsidP="00810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B"/>
    <w:rsid w:val="0000520E"/>
    <w:rsid w:val="00011C03"/>
    <w:rsid w:val="00011C1A"/>
    <w:rsid w:val="00011C41"/>
    <w:rsid w:val="000137D6"/>
    <w:rsid w:val="00086391"/>
    <w:rsid w:val="000B2B6E"/>
    <w:rsid w:val="0010569B"/>
    <w:rsid w:val="00111710"/>
    <w:rsid w:val="00121C3A"/>
    <w:rsid w:val="00132189"/>
    <w:rsid w:val="00160BC5"/>
    <w:rsid w:val="00162C89"/>
    <w:rsid w:val="00173D33"/>
    <w:rsid w:val="00185C0C"/>
    <w:rsid w:val="00186ECC"/>
    <w:rsid w:val="00190280"/>
    <w:rsid w:val="00191579"/>
    <w:rsid w:val="001A1096"/>
    <w:rsid w:val="001F66F3"/>
    <w:rsid w:val="0020169D"/>
    <w:rsid w:val="0021249A"/>
    <w:rsid w:val="00224461"/>
    <w:rsid w:val="00265015"/>
    <w:rsid w:val="00266FC9"/>
    <w:rsid w:val="00276C5C"/>
    <w:rsid w:val="00290090"/>
    <w:rsid w:val="002A3A3E"/>
    <w:rsid w:val="0031480B"/>
    <w:rsid w:val="00314BEE"/>
    <w:rsid w:val="0036652F"/>
    <w:rsid w:val="003826B9"/>
    <w:rsid w:val="00395207"/>
    <w:rsid w:val="003B225E"/>
    <w:rsid w:val="003B7F88"/>
    <w:rsid w:val="003C606E"/>
    <w:rsid w:val="003D30EE"/>
    <w:rsid w:val="003D4832"/>
    <w:rsid w:val="003E44D8"/>
    <w:rsid w:val="00403048"/>
    <w:rsid w:val="0041030F"/>
    <w:rsid w:val="0041198A"/>
    <w:rsid w:val="00411ABC"/>
    <w:rsid w:val="00434DC9"/>
    <w:rsid w:val="004A3B56"/>
    <w:rsid w:val="004B1F14"/>
    <w:rsid w:val="004C11ED"/>
    <w:rsid w:val="0050118C"/>
    <w:rsid w:val="00517BE5"/>
    <w:rsid w:val="00540167"/>
    <w:rsid w:val="005621DC"/>
    <w:rsid w:val="005627E7"/>
    <w:rsid w:val="00587502"/>
    <w:rsid w:val="00593D4B"/>
    <w:rsid w:val="005A67AA"/>
    <w:rsid w:val="005A7962"/>
    <w:rsid w:val="005D5E1F"/>
    <w:rsid w:val="00634517"/>
    <w:rsid w:val="00646EDF"/>
    <w:rsid w:val="00652F3F"/>
    <w:rsid w:val="00676D16"/>
    <w:rsid w:val="006A4725"/>
    <w:rsid w:val="006B4FB4"/>
    <w:rsid w:val="006C6F42"/>
    <w:rsid w:val="006E12DE"/>
    <w:rsid w:val="00710E04"/>
    <w:rsid w:val="00711BA7"/>
    <w:rsid w:val="007179F6"/>
    <w:rsid w:val="00727F68"/>
    <w:rsid w:val="007401A0"/>
    <w:rsid w:val="007420A2"/>
    <w:rsid w:val="00752E1B"/>
    <w:rsid w:val="00763284"/>
    <w:rsid w:val="00765C94"/>
    <w:rsid w:val="00787F5C"/>
    <w:rsid w:val="00793A35"/>
    <w:rsid w:val="007B4E7B"/>
    <w:rsid w:val="007C2750"/>
    <w:rsid w:val="007F3A8F"/>
    <w:rsid w:val="008101BE"/>
    <w:rsid w:val="0084576E"/>
    <w:rsid w:val="00856024"/>
    <w:rsid w:val="00856E84"/>
    <w:rsid w:val="00882461"/>
    <w:rsid w:val="008E1587"/>
    <w:rsid w:val="00901945"/>
    <w:rsid w:val="00915488"/>
    <w:rsid w:val="009170CD"/>
    <w:rsid w:val="009260DA"/>
    <w:rsid w:val="00941B76"/>
    <w:rsid w:val="00971F54"/>
    <w:rsid w:val="00980C8B"/>
    <w:rsid w:val="0098785C"/>
    <w:rsid w:val="009D2F25"/>
    <w:rsid w:val="009D56E7"/>
    <w:rsid w:val="009F2D5C"/>
    <w:rsid w:val="009F5DA3"/>
    <w:rsid w:val="00A237BA"/>
    <w:rsid w:val="00A33180"/>
    <w:rsid w:val="00A404B4"/>
    <w:rsid w:val="00A51969"/>
    <w:rsid w:val="00A848EA"/>
    <w:rsid w:val="00A926FA"/>
    <w:rsid w:val="00AA0BE6"/>
    <w:rsid w:val="00AB3F22"/>
    <w:rsid w:val="00AC34ED"/>
    <w:rsid w:val="00AD344E"/>
    <w:rsid w:val="00AD4A5F"/>
    <w:rsid w:val="00AF5A68"/>
    <w:rsid w:val="00B03E78"/>
    <w:rsid w:val="00B05767"/>
    <w:rsid w:val="00B17180"/>
    <w:rsid w:val="00B34060"/>
    <w:rsid w:val="00B479BF"/>
    <w:rsid w:val="00B51A59"/>
    <w:rsid w:val="00B86F9D"/>
    <w:rsid w:val="00B92711"/>
    <w:rsid w:val="00BB00C7"/>
    <w:rsid w:val="00BB14A7"/>
    <w:rsid w:val="00BB46E9"/>
    <w:rsid w:val="00BD1979"/>
    <w:rsid w:val="00BF454A"/>
    <w:rsid w:val="00C0053A"/>
    <w:rsid w:val="00C11120"/>
    <w:rsid w:val="00C22098"/>
    <w:rsid w:val="00C44B81"/>
    <w:rsid w:val="00C64350"/>
    <w:rsid w:val="00C64D6E"/>
    <w:rsid w:val="00C71E68"/>
    <w:rsid w:val="00C9025C"/>
    <w:rsid w:val="00C928B3"/>
    <w:rsid w:val="00CA2EEB"/>
    <w:rsid w:val="00CA7356"/>
    <w:rsid w:val="00CB4FDA"/>
    <w:rsid w:val="00CC1310"/>
    <w:rsid w:val="00CC4C2D"/>
    <w:rsid w:val="00CE541E"/>
    <w:rsid w:val="00CF6D07"/>
    <w:rsid w:val="00D1757C"/>
    <w:rsid w:val="00D2010F"/>
    <w:rsid w:val="00D26E76"/>
    <w:rsid w:val="00D34C99"/>
    <w:rsid w:val="00D612CC"/>
    <w:rsid w:val="00D85584"/>
    <w:rsid w:val="00DD2320"/>
    <w:rsid w:val="00DD50C4"/>
    <w:rsid w:val="00DD6564"/>
    <w:rsid w:val="00DE2821"/>
    <w:rsid w:val="00DE6EBC"/>
    <w:rsid w:val="00E066DF"/>
    <w:rsid w:val="00E06E1F"/>
    <w:rsid w:val="00E26E62"/>
    <w:rsid w:val="00E33FD1"/>
    <w:rsid w:val="00E359EE"/>
    <w:rsid w:val="00E369B1"/>
    <w:rsid w:val="00E42C3D"/>
    <w:rsid w:val="00E6169F"/>
    <w:rsid w:val="00E82C14"/>
    <w:rsid w:val="00EC11A9"/>
    <w:rsid w:val="00F043D1"/>
    <w:rsid w:val="00F134A5"/>
    <w:rsid w:val="00F41B31"/>
    <w:rsid w:val="00F60D68"/>
    <w:rsid w:val="00F62D8D"/>
    <w:rsid w:val="00F705D2"/>
    <w:rsid w:val="00F747ED"/>
    <w:rsid w:val="00F7536F"/>
    <w:rsid w:val="00F75780"/>
    <w:rsid w:val="00F779EB"/>
    <w:rsid w:val="00F84AF4"/>
    <w:rsid w:val="00FF289B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character" w:styleId="a8">
    <w:name w:val="Hyperlink"/>
    <w:basedOn w:val="a0"/>
    <w:uiPriority w:val="99"/>
    <w:semiHidden/>
    <w:unhideWhenUsed/>
    <w:rsid w:val="00162C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A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C9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8101BE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101BE"/>
    <w:rPr>
      <w:rFonts w:ascii="Times New Roman" w:eastAsiaTheme="minorHAnsi" w:hAnsi="Times New Roman" w:cstheme="minorBidi"/>
      <w:lang w:eastAsia="en-US"/>
    </w:rPr>
  </w:style>
  <w:style w:type="character" w:styleId="ae">
    <w:name w:val="footnote reference"/>
    <w:basedOn w:val="a0"/>
    <w:uiPriority w:val="99"/>
    <w:unhideWhenUsed/>
    <w:rsid w:val="008101BE"/>
    <w:rPr>
      <w:vertAlign w:val="superscript"/>
    </w:rPr>
  </w:style>
  <w:style w:type="paragraph" w:styleId="af">
    <w:name w:val="No Spacing"/>
    <w:uiPriority w:val="1"/>
    <w:qFormat/>
    <w:rsid w:val="00AC34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character" w:styleId="a8">
    <w:name w:val="Hyperlink"/>
    <w:basedOn w:val="a0"/>
    <w:uiPriority w:val="99"/>
    <w:semiHidden/>
    <w:unhideWhenUsed/>
    <w:rsid w:val="00162C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A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C9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8101BE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101BE"/>
    <w:rPr>
      <w:rFonts w:ascii="Times New Roman" w:eastAsiaTheme="minorHAnsi" w:hAnsi="Times New Roman" w:cstheme="minorBidi"/>
      <w:lang w:eastAsia="en-US"/>
    </w:rPr>
  </w:style>
  <w:style w:type="character" w:styleId="ae">
    <w:name w:val="footnote reference"/>
    <w:basedOn w:val="a0"/>
    <w:uiPriority w:val="99"/>
    <w:unhideWhenUsed/>
    <w:rsid w:val="008101BE"/>
    <w:rPr>
      <w:vertAlign w:val="superscript"/>
    </w:rPr>
  </w:style>
  <w:style w:type="paragraph" w:styleId="af">
    <w:name w:val="No Spacing"/>
    <w:uiPriority w:val="1"/>
    <w:qFormat/>
    <w:rsid w:val="00AC34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9592-5183-46E0-903D-2DB4327C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14</cp:revision>
  <cp:lastPrinted>2017-09-06T06:44:00Z</cp:lastPrinted>
  <dcterms:created xsi:type="dcterms:W3CDTF">2020-04-27T08:59:00Z</dcterms:created>
  <dcterms:modified xsi:type="dcterms:W3CDTF">2020-04-27T12:40:00Z</dcterms:modified>
</cp:coreProperties>
</file>